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1A" w:rsidRDefault="0010191A" w:rsidP="0010191A">
      <w:pPr>
        <w:spacing w:before="120" w:after="120"/>
        <w:jc w:val="right"/>
        <w:rPr>
          <w:rFonts w:ascii="Arial" w:hAnsi="Arial" w:cs="Arial"/>
          <w:sz w:val="20"/>
          <w:szCs w:val="20"/>
          <w:lang w:val="en-US"/>
        </w:rPr>
      </w:pPr>
    </w:p>
    <w:p w:rsidR="0010191A" w:rsidRPr="00606D71" w:rsidRDefault="00DE2D0C" w:rsidP="0010191A">
      <w:pPr>
        <w:spacing w:before="120" w:after="120"/>
        <w:jc w:val="right"/>
        <w:rPr>
          <w:rFonts w:ascii="Arial" w:hAnsi="Arial" w:cs="Arial"/>
          <w:sz w:val="20"/>
          <w:szCs w:val="20"/>
          <w:lang w:val="de-AT"/>
        </w:rPr>
      </w:pPr>
      <w:r>
        <w:rPr>
          <w:rFonts w:ascii="Arial" w:hAnsi="Arial" w:cs="Arial"/>
          <w:sz w:val="20"/>
          <w:szCs w:val="20"/>
          <w:lang w:val="de-AT"/>
        </w:rPr>
        <w:t>19</w:t>
      </w:r>
      <w:r w:rsidR="0010191A" w:rsidRPr="00606D71">
        <w:rPr>
          <w:rFonts w:ascii="Arial" w:hAnsi="Arial" w:cs="Arial"/>
          <w:sz w:val="20"/>
          <w:szCs w:val="20"/>
          <w:lang w:val="de-AT"/>
        </w:rPr>
        <w:t>. Oktober 2015</w:t>
      </w:r>
    </w:p>
    <w:p w:rsidR="00B41E7E" w:rsidRPr="00B712F7" w:rsidRDefault="00B41E7E" w:rsidP="00B41E7E">
      <w:pPr>
        <w:pStyle w:val="berschrift1"/>
        <w:spacing w:before="0"/>
        <w:rPr>
          <w:sz w:val="28"/>
          <w:szCs w:val="28"/>
        </w:rPr>
      </w:pPr>
      <w:r w:rsidRPr="00B712F7">
        <w:rPr>
          <w:color w:val="000000"/>
          <w:sz w:val="24"/>
          <w:szCs w:val="24"/>
          <w:lang w:val="de-AT"/>
        </w:rPr>
        <w:t>ÖGP-Kongress 2015</w:t>
      </w:r>
    </w:p>
    <w:p w:rsidR="00C52AA6" w:rsidRPr="00C52AA6" w:rsidRDefault="00C52AA6" w:rsidP="00C52AA6">
      <w:pPr>
        <w:spacing w:before="80" w:after="80"/>
        <w:rPr>
          <w:rFonts w:ascii="Arial" w:hAnsi="Arial" w:cs="Arial"/>
          <w:b/>
          <w:sz w:val="32"/>
          <w:szCs w:val="28"/>
        </w:rPr>
      </w:pPr>
      <w:r w:rsidRPr="00C52AA6">
        <w:rPr>
          <w:rFonts w:ascii="Arial" w:hAnsi="Arial" w:cs="Arial"/>
          <w:b/>
          <w:sz w:val="32"/>
          <w:szCs w:val="28"/>
        </w:rPr>
        <w:t xml:space="preserve">Häufig, unterschätzt, potenziell tödlich: Lungenembolien </w:t>
      </w:r>
    </w:p>
    <w:p w:rsidR="00C52AA6" w:rsidRPr="00C52AA6" w:rsidRDefault="00C52AA6" w:rsidP="00E93F94">
      <w:pPr>
        <w:pStyle w:val="Listenabsatz"/>
        <w:spacing w:before="80" w:after="80"/>
        <w:ind w:left="0"/>
        <w:rPr>
          <w:rFonts w:ascii="Arial" w:hAnsi="Arial" w:cs="Arial"/>
          <w:b/>
          <w:bCs/>
          <w:color w:val="000000"/>
          <w:sz w:val="22"/>
          <w:szCs w:val="22"/>
        </w:rPr>
      </w:pPr>
      <w:r w:rsidRPr="00C52AA6">
        <w:rPr>
          <w:rFonts w:ascii="Arial" w:hAnsi="Arial" w:cs="Arial"/>
          <w:b/>
          <w:bCs/>
          <w:color w:val="000000"/>
          <w:sz w:val="22"/>
          <w:szCs w:val="22"/>
        </w:rPr>
        <w:t xml:space="preserve">In den vergangenen Jahren hat es deutliche Fortschritte in der Behandlung und in der Prävention einer akuten Erkrankung gegeben, die jedes Jahr in der EU </w:t>
      </w:r>
      <w:r w:rsidR="00C20125">
        <w:rPr>
          <w:rFonts w:ascii="Arial" w:hAnsi="Arial" w:cs="Arial"/>
          <w:b/>
          <w:bCs/>
          <w:color w:val="000000"/>
          <w:sz w:val="22"/>
          <w:szCs w:val="22"/>
        </w:rPr>
        <w:t>rund eine halbe Million</w:t>
      </w:r>
      <w:r w:rsidR="00C20125" w:rsidRPr="00C52AA6">
        <w:rPr>
          <w:rFonts w:ascii="Arial" w:hAnsi="Arial" w:cs="Arial"/>
          <w:b/>
          <w:bCs/>
          <w:color w:val="000000"/>
          <w:sz w:val="22"/>
          <w:szCs w:val="22"/>
        </w:rPr>
        <w:t xml:space="preserve"> </w:t>
      </w:r>
      <w:r w:rsidRPr="00C52AA6">
        <w:rPr>
          <w:rFonts w:ascii="Arial" w:hAnsi="Arial" w:cs="Arial"/>
          <w:b/>
          <w:bCs/>
          <w:color w:val="000000"/>
          <w:sz w:val="22"/>
          <w:szCs w:val="22"/>
        </w:rPr>
        <w:t xml:space="preserve">Todesopfer fordert: die Lungenembolie. Schnelle Diagnose und Therapie sind entscheidend. </w:t>
      </w:r>
      <w:r w:rsidR="00C20125">
        <w:rPr>
          <w:rFonts w:ascii="Arial" w:hAnsi="Arial" w:cs="Arial"/>
          <w:b/>
          <w:bCs/>
          <w:color w:val="000000"/>
          <w:sz w:val="22"/>
          <w:szCs w:val="22"/>
        </w:rPr>
        <w:t xml:space="preserve">Lungenembolien bleiben jedoch in vielen Fällen unerkannt oder werden erst zu spät diagnostiziert. </w:t>
      </w:r>
      <w:r w:rsidR="002506A2">
        <w:rPr>
          <w:rFonts w:ascii="Arial" w:hAnsi="Arial" w:cs="Arial"/>
          <w:b/>
          <w:bCs/>
          <w:color w:val="000000"/>
          <w:sz w:val="22"/>
          <w:szCs w:val="22"/>
        </w:rPr>
        <w:t>Umso wichtiger ist es daher, die oft unspezifischen Symptome</w:t>
      </w:r>
      <w:r w:rsidR="00E93F94">
        <w:rPr>
          <w:rFonts w:ascii="Arial" w:hAnsi="Arial" w:cs="Arial"/>
          <w:b/>
          <w:bCs/>
          <w:color w:val="000000"/>
          <w:sz w:val="22"/>
          <w:szCs w:val="22"/>
        </w:rPr>
        <w:t xml:space="preserve"> wie </w:t>
      </w:r>
      <w:r w:rsidR="00E93F94" w:rsidRPr="00E93F94">
        <w:rPr>
          <w:rFonts w:ascii="Arial" w:hAnsi="Arial" w:cs="Arial"/>
          <w:b/>
          <w:bCs/>
          <w:color w:val="000000"/>
          <w:sz w:val="22"/>
          <w:szCs w:val="22"/>
        </w:rPr>
        <w:t>Schwellung eines Beines, akut einsetzende Atemnot, Schmerzen in der Brust</w:t>
      </w:r>
      <w:r w:rsidR="00E93F94">
        <w:rPr>
          <w:rFonts w:ascii="Arial" w:hAnsi="Arial" w:cs="Arial"/>
          <w:b/>
          <w:bCs/>
          <w:color w:val="000000"/>
          <w:sz w:val="22"/>
          <w:szCs w:val="22"/>
        </w:rPr>
        <w:t xml:space="preserve"> und</w:t>
      </w:r>
      <w:r w:rsidR="00E93F94" w:rsidRPr="00E93F94">
        <w:rPr>
          <w:rFonts w:ascii="Arial" w:hAnsi="Arial" w:cs="Arial"/>
          <w:b/>
          <w:bCs/>
          <w:color w:val="000000"/>
          <w:sz w:val="22"/>
          <w:szCs w:val="22"/>
        </w:rPr>
        <w:t xml:space="preserve"> schnelle Atmung</w:t>
      </w:r>
      <w:r w:rsidR="002506A2">
        <w:rPr>
          <w:rFonts w:ascii="Arial" w:hAnsi="Arial" w:cs="Arial"/>
          <w:b/>
          <w:bCs/>
          <w:color w:val="000000"/>
          <w:sz w:val="22"/>
          <w:szCs w:val="22"/>
        </w:rPr>
        <w:t xml:space="preserve"> ernst zu nehmen und entsprechende </w:t>
      </w:r>
      <w:r w:rsidR="00E93F94">
        <w:rPr>
          <w:rFonts w:ascii="Arial" w:hAnsi="Arial" w:cs="Arial"/>
          <w:b/>
          <w:bCs/>
          <w:color w:val="000000"/>
          <w:sz w:val="22"/>
          <w:szCs w:val="22"/>
        </w:rPr>
        <w:t xml:space="preserve">diagnostische und in der weiteren Folge </w:t>
      </w:r>
      <w:r w:rsidR="002506A2">
        <w:rPr>
          <w:rFonts w:ascii="Arial" w:hAnsi="Arial" w:cs="Arial"/>
          <w:b/>
          <w:bCs/>
          <w:color w:val="000000"/>
          <w:sz w:val="22"/>
          <w:szCs w:val="22"/>
        </w:rPr>
        <w:t xml:space="preserve">therapeutische Maßnahmen zu setzen. </w:t>
      </w:r>
      <w:r w:rsidR="00E93F94">
        <w:rPr>
          <w:rFonts w:ascii="Arial" w:hAnsi="Arial" w:cs="Arial"/>
          <w:b/>
          <w:bCs/>
          <w:color w:val="000000"/>
          <w:sz w:val="22"/>
          <w:szCs w:val="22"/>
        </w:rPr>
        <w:t>Damit</w:t>
      </w:r>
      <w:r w:rsidR="002506A2">
        <w:rPr>
          <w:rFonts w:ascii="Arial" w:hAnsi="Arial" w:cs="Arial"/>
          <w:b/>
          <w:bCs/>
          <w:color w:val="000000"/>
          <w:sz w:val="22"/>
          <w:szCs w:val="22"/>
        </w:rPr>
        <w:t xml:space="preserve"> ließen sich Jahr für Jahr</w:t>
      </w:r>
      <w:r w:rsidR="00C20125">
        <w:rPr>
          <w:rFonts w:ascii="Arial" w:hAnsi="Arial" w:cs="Arial"/>
          <w:b/>
          <w:bCs/>
          <w:color w:val="000000"/>
          <w:sz w:val="22"/>
          <w:szCs w:val="22"/>
        </w:rPr>
        <w:t xml:space="preserve"> viele Menschenleben </w:t>
      </w:r>
      <w:r w:rsidR="00E93F94">
        <w:rPr>
          <w:rFonts w:ascii="Arial" w:hAnsi="Arial" w:cs="Arial"/>
          <w:b/>
          <w:bCs/>
          <w:color w:val="000000"/>
          <w:sz w:val="22"/>
          <w:szCs w:val="22"/>
        </w:rPr>
        <w:t>retten</w:t>
      </w:r>
      <w:r w:rsidR="00C20125">
        <w:rPr>
          <w:rFonts w:ascii="Arial" w:hAnsi="Arial" w:cs="Arial"/>
          <w:b/>
          <w:bCs/>
          <w:color w:val="000000"/>
          <w:sz w:val="22"/>
          <w:szCs w:val="22"/>
        </w:rPr>
        <w:t>.</w:t>
      </w:r>
    </w:p>
    <w:p w:rsidR="00C52AA6" w:rsidRPr="00E933AA" w:rsidRDefault="00C52AA6" w:rsidP="00E933AA">
      <w:pPr>
        <w:spacing w:before="80" w:after="80"/>
        <w:rPr>
          <w:rFonts w:ascii="Arial" w:hAnsi="Arial" w:cs="Arial"/>
          <w:sz w:val="22"/>
          <w:szCs w:val="22"/>
        </w:rPr>
      </w:pPr>
      <w:r w:rsidRPr="00E933AA">
        <w:rPr>
          <w:rFonts w:ascii="Arial" w:hAnsi="Arial" w:cs="Arial"/>
          <w:sz w:val="22"/>
          <w:szCs w:val="22"/>
        </w:rPr>
        <w:t xml:space="preserve">„Die akute Lungenembolie ist die häufigste unerkannte Krankheit, die binnen kurzer Zeit fatal enden kann. Die Gefährdung nimmt mit dem Alter zu. Quantitativ sieht man bei älteren Verstorbenen, die seziert werden, relativ oft auch eine Lungenembolie, die zu Lebzeiten nicht festgestellt wurde“, sagte Univ.-Prof. Dr. Horst Olschewski, Leiter der Klinischen Abteilung für </w:t>
      </w:r>
      <w:proofErr w:type="spellStart"/>
      <w:r w:rsidRPr="00E933AA">
        <w:rPr>
          <w:rFonts w:ascii="Arial" w:hAnsi="Arial" w:cs="Arial"/>
          <w:sz w:val="22"/>
          <w:szCs w:val="22"/>
        </w:rPr>
        <w:t>Pulmologie</w:t>
      </w:r>
      <w:proofErr w:type="spellEnd"/>
      <w:r w:rsidRPr="00E933AA">
        <w:rPr>
          <w:rFonts w:ascii="Arial" w:hAnsi="Arial" w:cs="Arial"/>
          <w:sz w:val="22"/>
          <w:szCs w:val="22"/>
        </w:rPr>
        <w:t xml:space="preserve"> an den Grazer Universitätskliniken aus Anlass der Jahrestagung der Österreichischen Gesellschaft für Pneumologie (</w:t>
      </w:r>
      <w:r w:rsidR="00C20125">
        <w:rPr>
          <w:rFonts w:ascii="Arial" w:hAnsi="Arial" w:cs="Arial"/>
          <w:sz w:val="22"/>
          <w:szCs w:val="22"/>
        </w:rPr>
        <w:t>ÖGP</w:t>
      </w:r>
      <w:r w:rsidRPr="00E933AA">
        <w:rPr>
          <w:rFonts w:ascii="Arial" w:hAnsi="Arial" w:cs="Arial"/>
          <w:sz w:val="22"/>
          <w:szCs w:val="22"/>
        </w:rPr>
        <w:t xml:space="preserve">) in Graz. </w:t>
      </w:r>
    </w:p>
    <w:p w:rsidR="00C52AA6" w:rsidRPr="00C52AA6" w:rsidRDefault="00C52AA6" w:rsidP="00461C60">
      <w:pPr>
        <w:spacing w:before="80" w:after="80"/>
        <w:rPr>
          <w:rFonts w:ascii="Arial" w:hAnsi="Arial" w:cs="Arial"/>
          <w:sz w:val="22"/>
          <w:szCs w:val="22"/>
        </w:rPr>
      </w:pPr>
      <w:r w:rsidRPr="00C52AA6">
        <w:rPr>
          <w:rFonts w:ascii="Arial" w:hAnsi="Arial" w:cs="Arial"/>
          <w:sz w:val="22"/>
          <w:szCs w:val="22"/>
        </w:rPr>
        <w:t>Die Ursache ist die Bildung eines Thrombus</w:t>
      </w:r>
      <w:r w:rsidR="00DF3F91">
        <w:rPr>
          <w:rFonts w:ascii="Arial" w:hAnsi="Arial" w:cs="Arial"/>
          <w:sz w:val="22"/>
          <w:szCs w:val="22"/>
        </w:rPr>
        <w:t>, also ein Blutgerinnsel</w:t>
      </w:r>
      <w:r w:rsidR="00A141A1">
        <w:rPr>
          <w:rFonts w:ascii="Arial" w:hAnsi="Arial" w:cs="Arial"/>
          <w:sz w:val="22"/>
          <w:szCs w:val="22"/>
        </w:rPr>
        <w:t>s</w:t>
      </w:r>
      <w:r w:rsidR="00DF3F91">
        <w:rPr>
          <w:rFonts w:ascii="Arial" w:hAnsi="Arial" w:cs="Arial"/>
          <w:sz w:val="22"/>
          <w:szCs w:val="22"/>
        </w:rPr>
        <w:t>,</w:t>
      </w:r>
      <w:r w:rsidRPr="00C52AA6">
        <w:rPr>
          <w:rFonts w:ascii="Arial" w:hAnsi="Arial" w:cs="Arial"/>
          <w:sz w:val="22"/>
          <w:szCs w:val="22"/>
        </w:rPr>
        <w:t xml:space="preserve"> – zumeist in einer Beinvene. Die größte Gefahr besteht darin, dass das Gerinnsel oder ein Teil davon mit dem Blutstrom über die rechte Herzkammer in die Lungenarterie kommt und dort das Lungengefäß verschließt. Das dahinter liegende Lungenareal fällt aus. Außerdem kann durch den Gefäßverschluss der Widerstand in der Lunge steigen, was schließlich zum </w:t>
      </w:r>
      <w:r w:rsidR="00DF3F91">
        <w:rPr>
          <w:rFonts w:ascii="Arial" w:hAnsi="Arial" w:cs="Arial"/>
          <w:sz w:val="22"/>
          <w:szCs w:val="22"/>
        </w:rPr>
        <w:t xml:space="preserve">sogenannten </w:t>
      </w:r>
      <w:r w:rsidRPr="00C52AA6">
        <w:rPr>
          <w:rFonts w:ascii="Arial" w:hAnsi="Arial" w:cs="Arial"/>
          <w:sz w:val="22"/>
          <w:szCs w:val="22"/>
        </w:rPr>
        <w:t>Rechtsherzversagen</w:t>
      </w:r>
      <w:r w:rsidR="00DF3F91">
        <w:rPr>
          <w:rFonts w:ascii="Arial" w:hAnsi="Arial" w:cs="Arial"/>
          <w:sz w:val="22"/>
          <w:szCs w:val="22"/>
        </w:rPr>
        <w:t>, also einem Ausfall der Funktion der rechten Herzhälfte,</w:t>
      </w:r>
      <w:r w:rsidRPr="00C52AA6">
        <w:rPr>
          <w:rFonts w:ascii="Arial" w:hAnsi="Arial" w:cs="Arial"/>
          <w:sz w:val="22"/>
          <w:szCs w:val="22"/>
        </w:rPr>
        <w:t xml:space="preserve"> führt. Die Lungenembolie ist damit die gefährlichste Erscheinungsform </w:t>
      </w:r>
      <w:r w:rsidR="00D6468C">
        <w:rPr>
          <w:rFonts w:ascii="Arial" w:hAnsi="Arial" w:cs="Arial"/>
          <w:sz w:val="22"/>
          <w:szCs w:val="22"/>
        </w:rPr>
        <w:t xml:space="preserve">der </w:t>
      </w:r>
      <w:r w:rsidR="00DF3F91" w:rsidRPr="00C52AA6">
        <w:rPr>
          <w:rFonts w:ascii="Arial" w:hAnsi="Arial" w:cs="Arial"/>
          <w:sz w:val="22"/>
          <w:szCs w:val="22"/>
        </w:rPr>
        <w:t xml:space="preserve">venösen </w:t>
      </w:r>
      <w:proofErr w:type="spellStart"/>
      <w:r w:rsidR="00DF3F91" w:rsidRPr="00C52AA6">
        <w:rPr>
          <w:rFonts w:ascii="Arial" w:hAnsi="Arial" w:cs="Arial"/>
          <w:sz w:val="22"/>
          <w:szCs w:val="22"/>
        </w:rPr>
        <w:t>Thromboembolie</w:t>
      </w:r>
      <w:proofErr w:type="spellEnd"/>
      <w:r w:rsidR="00DF3F91">
        <w:rPr>
          <w:rFonts w:ascii="Arial" w:hAnsi="Arial" w:cs="Arial"/>
          <w:sz w:val="22"/>
          <w:szCs w:val="22"/>
        </w:rPr>
        <w:t xml:space="preserve"> </w:t>
      </w:r>
      <w:r w:rsidR="00D6468C">
        <w:rPr>
          <w:rFonts w:ascii="Arial" w:hAnsi="Arial" w:cs="Arial"/>
          <w:sz w:val="22"/>
          <w:szCs w:val="22"/>
        </w:rPr>
        <w:t>(</w:t>
      </w:r>
      <w:r w:rsidR="00DF3F91">
        <w:rPr>
          <w:rFonts w:ascii="Arial" w:hAnsi="Arial" w:cs="Arial"/>
          <w:sz w:val="22"/>
          <w:szCs w:val="22"/>
        </w:rPr>
        <w:t xml:space="preserve">kurz auch VTE genannt = zusammenfassende Bezeichnung </w:t>
      </w:r>
      <w:r w:rsidRPr="00C52AA6">
        <w:rPr>
          <w:rFonts w:ascii="Arial" w:hAnsi="Arial" w:cs="Arial"/>
          <w:sz w:val="22"/>
          <w:szCs w:val="22"/>
        </w:rPr>
        <w:t>der tiefe</w:t>
      </w:r>
      <w:r w:rsidR="00D6468C">
        <w:rPr>
          <w:rFonts w:ascii="Arial" w:hAnsi="Arial" w:cs="Arial"/>
          <w:sz w:val="22"/>
          <w:szCs w:val="22"/>
        </w:rPr>
        <w:t>n</w:t>
      </w:r>
      <w:r w:rsidRPr="00C52AA6">
        <w:rPr>
          <w:rFonts w:ascii="Arial" w:hAnsi="Arial" w:cs="Arial"/>
          <w:sz w:val="22"/>
          <w:szCs w:val="22"/>
        </w:rPr>
        <w:t xml:space="preserve"> </w:t>
      </w:r>
      <w:proofErr w:type="spellStart"/>
      <w:r w:rsidRPr="00C52AA6">
        <w:rPr>
          <w:rFonts w:ascii="Arial" w:hAnsi="Arial" w:cs="Arial"/>
          <w:sz w:val="22"/>
          <w:szCs w:val="22"/>
        </w:rPr>
        <w:t>Beinenvenen</w:t>
      </w:r>
      <w:r w:rsidR="00D6468C">
        <w:rPr>
          <w:rFonts w:ascii="Arial" w:hAnsi="Arial" w:cs="Arial"/>
          <w:sz w:val="22"/>
          <w:szCs w:val="22"/>
        </w:rPr>
        <w:t>t</w:t>
      </w:r>
      <w:r w:rsidRPr="00C52AA6">
        <w:rPr>
          <w:rFonts w:ascii="Arial" w:hAnsi="Arial" w:cs="Arial"/>
          <w:sz w:val="22"/>
          <w:szCs w:val="22"/>
        </w:rPr>
        <w:t>hrombose</w:t>
      </w:r>
      <w:proofErr w:type="spellEnd"/>
      <w:r w:rsidRPr="00C52AA6">
        <w:rPr>
          <w:rFonts w:ascii="Arial" w:hAnsi="Arial" w:cs="Arial"/>
          <w:sz w:val="22"/>
          <w:szCs w:val="22"/>
        </w:rPr>
        <w:t xml:space="preserve"> </w:t>
      </w:r>
      <w:r w:rsidR="00D6468C">
        <w:rPr>
          <w:rFonts w:ascii="Arial" w:hAnsi="Arial" w:cs="Arial"/>
          <w:sz w:val="22"/>
          <w:szCs w:val="22"/>
        </w:rPr>
        <w:t xml:space="preserve">und </w:t>
      </w:r>
      <w:r w:rsidR="00DF3F91">
        <w:rPr>
          <w:rFonts w:ascii="Arial" w:hAnsi="Arial" w:cs="Arial"/>
          <w:sz w:val="22"/>
          <w:szCs w:val="22"/>
        </w:rPr>
        <w:t>Lungenembolie</w:t>
      </w:r>
      <w:r w:rsidR="00D6468C">
        <w:rPr>
          <w:rFonts w:ascii="Arial" w:hAnsi="Arial" w:cs="Arial"/>
          <w:sz w:val="22"/>
          <w:szCs w:val="22"/>
        </w:rPr>
        <w:t>)</w:t>
      </w:r>
      <w:r w:rsidRPr="00C52AA6">
        <w:rPr>
          <w:rFonts w:ascii="Arial" w:hAnsi="Arial" w:cs="Arial"/>
          <w:sz w:val="22"/>
          <w:szCs w:val="22"/>
        </w:rPr>
        <w:t xml:space="preserve">. </w:t>
      </w:r>
    </w:p>
    <w:p w:rsidR="00C52AA6" w:rsidRPr="00C52AA6" w:rsidRDefault="00D6468C" w:rsidP="00C20125">
      <w:pPr>
        <w:spacing w:before="80" w:after="80"/>
        <w:rPr>
          <w:rFonts w:ascii="Arial" w:hAnsi="Arial" w:cs="Arial"/>
          <w:sz w:val="22"/>
          <w:szCs w:val="22"/>
        </w:rPr>
      </w:pPr>
      <w:r>
        <w:rPr>
          <w:rFonts w:ascii="Arial" w:hAnsi="Arial" w:cs="Arial"/>
          <w:sz w:val="22"/>
          <w:szCs w:val="22"/>
        </w:rPr>
        <w:t xml:space="preserve">Rund eine halbe Million Menschen stirbt </w:t>
      </w:r>
      <w:r w:rsidR="00C52AA6" w:rsidRPr="00C52AA6">
        <w:rPr>
          <w:rFonts w:ascii="Arial" w:hAnsi="Arial" w:cs="Arial"/>
          <w:sz w:val="22"/>
          <w:szCs w:val="22"/>
        </w:rPr>
        <w:t xml:space="preserve">pro Jahr </w:t>
      </w:r>
      <w:r w:rsidR="00527B4A">
        <w:rPr>
          <w:rFonts w:ascii="Arial" w:hAnsi="Arial" w:cs="Arial"/>
          <w:sz w:val="22"/>
          <w:szCs w:val="22"/>
        </w:rPr>
        <w:t xml:space="preserve">in der EU </w:t>
      </w:r>
      <w:r w:rsidR="00C52AA6" w:rsidRPr="00C52AA6">
        <w:rPr>
          <w:rFonts w:ascii="Arial" w:hAnsi="Arial" w:cs="Arial"/>
          <w:sz w:val="22"/>
          <w:szCs w:val="22"/>
        </w:rPr>
        <w:t xml:space="preserve">an den Folgen einer </w:t>
      </w:r>
      <w:r>
        <w:rPr>
          <w:rFonts w:ascii="Arial" w:hAnsi="Arial" w:cs="Arial"/>
          <w:sz w:val="22"/>
          <w:szCs w:val="22"/>
        </w:rPr>
        <w:t xml:space="preserve">solchen </w:t>
      </w:r>
      <w:r w:rsidR="00C52AA6" w:rsidRPr="00C52AA6">
        <w:rPr>
          <w:rFonts w:ascii="Arial" w:hAnsi="Arial" w:cs="Arial"/>
          <w:sz w:val="22"/>
          <w:szCs w:val="22"/>
        </w:rPr>
        <w:t xml:space="preserve">venösen </w:t>
      </w:r>
      <w:proofErr w:type="spellStart"/>
      <w:r w:rsidR="00C52AA6" w:rsidRPr="00C52AA6">
        <w:rPr>
          <w:rFonts w:ascii="Arial" w:hAnsi="Arial" w:cs="Arial"/>
          <w:sz w:val="22"/>
          <w:szCs w:val="22"/>
        </w:rPr>
        <w:t>Thromboembolie</w:t>
      </w:r>
      <w:proofErr w:type="spellEnd"/>
      <w:r>
        <w:rPr>
          <w:rFonts w:ascii="Arial" w:hAnsi="Arial" w:cs="Arial"/>
          <w:sz w:val="22"/>
          <w:szCs w:val="22"/>
        </w:rPr>
        <w:t>, so die Experten</w:t>
      </w:r>
      <w:r w:rsidR="00527B4A">
        <w:rPr>
          <w:rFonts w:ascii="Arial" w:hAnsi="Arial" w:cs="Arial"/>
          <w:sz w:val="22"/>
          <w:szCs w:val="22"/>
        </w:rPr>
        <w:t>*</w:t>
      </w:r>
      <w:r w:rsidR="00C52AA6" w:rsidRPr="00C52AA6">
        <w:rPr>
          <w:rFonts w:ascii="Arial" w:hAnsi="Arial" w:cs="Arial"/>
          <w:sz w:val="22"/>
          <w:szCs w:val="22"/>
        </w:rPr>
        <w:t xml:space="preserve">. Eine Berechnung, die in die aktuelle europäische Leitlinie zur Diagnose und Therapie der akuten Lungenembolie aufgenommen worden ist, besagt: Allein in </w:t>
      </w:r>
      <w:r w:rsidR="00527B4A">
        <w:rPr>
          <w:rFonts w:ascii="Arial" w:hAnsi="Arial" w:cs="Arial"/>
          <w:sz w:val="22"/>
          <w:szCs w:val="22"/>
        </w:rPr>
        <w:t xml:space="preserve">den </w:t>
      </w:r>
      <w:r w:rsidR="00C52AA6" w:rsidRPr="00C52AA6">
        <w:rPr>
          <w:rFonts w:ascii="Arial" w:hAnsi="Arial" w:cs="Arial"/>
          <w:sz w:val="22"/>
          <w:szCs w:val="22"/>
        </w:rPr>
        <w:t xml:space="preserve">sechs EU-Staaten, für welche die Berechnung vorgenommen worden ist, war von gut 300.000 VTE-Todesopfern pro Jahr auszugehen. 34 Prozent davon entfielen auf Todesfälle durch plötzlich aufgetretene Lungenembolien, 59 Prozent der Todesfälle stellten Lungenembolien dar, die nicht diagnostiziert wurden. </w:t>
      </w:r>
    </w:p>
    <w:p w:rsidR="00C52AA6" w:rsidRPr="00C52AA6" w:rsidRDefault="00C52AA6" w:rsidP="00C52AA6">
      <w:pPr>
        <w:spacing w:before="120" w:after="80"/>
        <w:rPr>
          <w:rFonts w:ascii="Arial" w:hAnsi="Arial" w:cs="Arial"/>
          <w:b/>
          <w:sz w:val="22"/>
          <w:szCs w:val="22"/>
        </w:rPr>
      </w:pPr>
      <w:r w:rsidRPr="00C52AA6">
        <w:rPr>
          <w:rFonts w:ascii="Arial" w:hAnsi="Arial" w:cs="Arial"/>
          <w:b/>
          <w:sz w:val="22"/>
          <w:szCs w:val="22"/>
        </w:rPr>
        <w:t xml:space="preserve">Risiko ungleich verteilt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Die Risiken sind ungleich verteilt. Männer sind häufiger betroffen als Frauen, Menschen mit einer genetischen Prädisposition ebenfalls. Bestimmte Grunderkrankungen, </w:t>
      </w:r>
      <w:r w:rsidR="00066F5E">
        <w:rPr>
          <w:rFonts w:ascii="Arial" w:hAnsi="Arial" w:cs="Arial"/>
          <w:sz w:val="22"/>
          <w:szCs w:val="22"/>
        </w:rPr>
        <w:t xml:space="preserve">wie </w:t>
      </w:r>
      <w:r w:rsidRPr="00C52AA6">
        <w:rPr>
          <w:rFonts w:ascii="Arial" w:hAnsi="Arial" w:cs="Arial"/>
          <w:sz w:val="22"/>
          <w:szCs w:val="22"/>
        </w:rPr>
        <w:t xml:space="preserve">zum Beispiel Krebs, stellen ebenfalls ein Risiko </w:t>
      </w:r>
      <w:r w:rsidR="00066F5E">
        <w:rPr>
          <w:rFonts w:ascii="Arial" w:hAnsi="Arial" w:cs="Arial"/>
          <w:sz w:val="22"/>
          <w:szCs w:val="22"/>
        </w:rPr>
        <w:t xml:space="preserve">für das Entstehen einer </w:t>
      </w:r>
      <w:r w:rsidR="00066F5E" w:rsidRPr="00C52AA6">
        <w:rPr>
          <w:rFonts w:ascii="Arial" w:hAnsi="Arial" w:cs="Arial"/>
          <w:sz w:val="22"/>
          <w:szCs w:val="22"/>
        </w:rPr>
        <w:t xml:space="preserve">venösen </w:t>
      </w:r>
      <w:proofErr w:type="spellStart"/>
      <w:r w:rsidR="00066F5E" w:rsidRPr="00C52AA6">
        <w:rPr>
          <w:rFonts w:ascii="Arial" w:hAnsi="Arial" w:cs="Arial"/>
          <w:sz w:val="22"/>
          <w:szCs w:val="22"/>
        </w:rPr>
        <w:t>Thromboembolie</w:t>
      </w:r>
      <w:proofErr w:type="spellEnd"/>
      <w:r w:rsidR="00066F5E">
        <w:rPr>
          <w:rFonts w:ascii="Arial" w:hAnsi="Arial" w:cs="Arial"/>
          <w:sz w:val="22"/>
          <w:szCs w:val="22"/>
        </w:rPr>
        <w:t xml:space="preserve"> </w:t>
      </w:r>
      <w:r w:rsidRPr="00C52AA6">
        <w:rPr>
          <w:rFonts w:ascii="Arial" w:hAnsi="Arial" w:cs="Arial"/>
          <w:sz w:val="22"/>
          <w:szCs w:val="22"/>
        </w:rPr>
        <w:t xml:space="preserve">dar. Davon zu unterscheiden sind </w:t>
      </w:r>
      <w:proofErr w:type="spellStart"/>
      <w:r w:rsidRPr="00C52AA6">
        <w:rPr>
          <w:rFonts w:ascii="Arial" w:hAnsi="Arial" w:cs="Arial"/>
          <w:sz w:val="22"/>
          <w:szCs w:val="22"/>
        </w:rPr>
        <w:t>thromboembolische</w:t>
      </w:r>
      <w:proofErr w:type="spellEnd"/>
      <w:r w:rsidRPr="00C52AA6">
        <w:rPr>
          <w:rFonts w:ascii="Arial" w:hAnsi="Arial" w:cs="Arial"/>
          <w:sz w:val="22"/>
          <w:szCs w:val="22"/>
        </w:rPr>
        <w:t xml:space="preserve"> Ereignisse durch eine Aktivierung der Blutgerinnung nach </w:t>
      </w:r>
      <w:r w:rsidR="00066F5E">
        <w:rPr>
          <w:rFonts w:ascii="Arial" w:hAnsi="Arial" w:cs="Arial"/>
          <w:sz w:val="22"/>
          <w:szCs w:val="22"/>
        </w:rPr>
        <w:t xml:space="preserve">einer </w:t>
      </w:r>
      <w:r w:rsidRPr="00C52AA6">
        <w:rPr>
          <w:rFonts w:ascii="Arial" w:hAnsi="Arial" w:cs="Arial"/>
          <w:sz w:val="22"/>
          <w:szCs w:val="22"/>
        </w:rPr>
        <w:t xml:space="preserve">Verletzungen oder Operationen. </w:t>
      </w:r>
    </w:p>
    <w:p w:rsidR="00263ACE" w:rsidRDefault="00C52AA6" w:rsidP="00E933AA">
      <w:pPr>
        <w:spacing w:before="80" w:after="80"/>
        <w:rPr>
          <w:rFonts w:ascii="Arial" w:hAnsi="Arial" w:cs="Arial"/>
          <w:sz w:val="22"/>
          <w:szCs w:val="22"/>
        </w:rPr>
      </w:pPr>
      <w:r w:rsidRPr="00C52AA6">
        <w:rPr>
          <w:rFonts w:ascii="Arial" w:hAnsi="Arial" w:cs="Arial"/>
          <w:sz w:val="22"/>
          <w:szCs w:val="22"/>
        </w:rPr>
        <w:t xml:space="preserve">Ein Problem liegt darin, dass die Symptome einer </w:t>
      </w:r>
      <w:r w:rsidR="00066F5E">
        <w:rPr>
          <w:rFonts w:ascii="Arial" w:hAnsi="Arial" w:cs="Arial"/>
          <w:sz w:val="22"/>
          <w:szCs w:val="22"/>
        </w:rPr>
        <w:t>Lungen</w:t>
      </w:r>
      <w:r w:rsidRPr="00C52AA6">
        <w:rPr>
          <w:rFonts w:ascii="Arial" w:hAnsi="Arial" w:cs="Arial"/>
          <w:sz w:val="22"/>
          <w:szCs w:val="22"/>
        </w:rPr>
        <w:t xml:space="preserve">embolie oft unspezifisch sind: Schmerzen und eine Schwellung am betroffenen Bein, wo die Thrombose zunächst auftritt, </w:t>
      </w:r>
      <w:r w:rsidR="00066F5E">
        <w:rPr>
          <w:rFonts w:ascii="Arial" w:hAnsi="Arial" w:cs="Arial"/>
          <w:sz w:val="22"/>
          <w:szCs w:val="22"/>
        </w:rPr>
        <w:lastRenderedPageBreak/>
        <w:t xml:space="preserve">dann </w:t>
      </w:r>
      <w:r w:rsidRPr="00C52AA6">
        <w:rPr>
          <w:rFonts w:ascii="Arial" w:hAnsi="Arial" w:cs="Arial"/>
          <w:sz w:val="22"/>
          <w:szCs w:val="22"/>
        </w:rPr>
        <w:t xml:space="preserve">akut einsetzende Atemnot, </w:t>
      </w:r>
      <w:r w:rsidR="00066F5E">
        <w:rPr>
          <w:rFonts w:ascii="Arial" w:hAnsi="Arial" w:cs="Arial"/>
          <w:sz w:val="22"/>
          <w:szCs w:val="22"/>
        </w:rPr>
        <w:t>Brust</w:t>
      </w:r>
      <w:r w:rsidRPr="00C52AA6">
        <w:rPr>
          <w:rFonts w:ascii="Arial" w:hAnsi="Arial" w:cs="Arial"/>
          <w:sz w:val="22"/>
          <w:szCs w:val="22"/>
        </w:rPr>
        <w:t xml:space="preserve">schmerz, schnelle Atmung und selten </w:t>
      </w:r>
      <w:r w:rsidR="00066F5E">
        <w:rPr>
          <w:rFonts w:ascii="Arial" w:hAnsi="Arial" w:cs="Arial"/>
          <w:sz w:val="22"/>
          <w:szCs w:val="22"/>
        </w:rPr>
        <w:t xml:space="preserve">auch </w:t>
      </w:r>
      <w:r w:rsidRPr="00C52AA6">
        <w:rPr>
          <w:rFonts w:ascii="Arial" w:hAnsi="Arial" w:cs="Arial"/>
          <w:sz w:val="22"/>
          <w:szCs w:val="22"/>
        </w:rPr>
        <w:t xml:space="preserve">Bluthusten. Ein geschwollenes Bein gilt oft nicht als Alarmsignal, Atemnot wird </w:t>
      </w:r>
      <w:r w:rsidR="00066F5E" w:rsidRPr="00C52AA6">
        <w:rPr>
          <w:rFonts w:ascii="Arial" w:hAnsi="Arial" w:cs="Arial"/>
          <w:sz w:val="22"/>
          <w:szCs w:val="22"/>
        </w:rPr>
        <w:t xml:space="preserve">zunächst </w:t>
      </w:r>
      <w:r w:rsidRPr="00C52AA6">
        <w:rPr>
          <w:rFonts w:ascii="Arial" w:hAnsi="Arial" w:cs="Arial"/>
          <w:sz w:val="22"/>
          <w:szCs w:val="22"/>
        </w:rPr>
        <w:t>oft ignoriert. Mit dem bildgebenden Verfahren der per</w:t>
      </w:r>
      <w:r w:rsidR="00066F5E">
        <w:rPr>
          <w:rFonts w:ascii="Arial" w:hAnsi="Arial" w:cs="Arial"/>
          <w:sz w:val="22"/>
          <w:szCs w:val="22"/>
        </w:rPr>
        <w:t xml:space="preserve"> </w:t>
      </w:r>
      <w:r w:rsidRPr="00C52AA6">
        <w:rPr>
          <w:rFonts w:ascii="Arial" w:hAnsi="Arial" w:cs="Arial"/>
          <w:sz w:val="22"/>
          <w:szCs w:val="22"/>
        </w:rPr>
        <w:t xml:space="preserve">Computertomografie </w:t>
      </w:r>
      <w:r w:rsidR="00066F5E">
        <w:rPr>
          <w:rFonts w:ascii="Arial" w:hAnsi="Arial" w:cs="Arial"/>
          <w:sz w:val="22"/>
          <w:szCs w:val="22"/>
        </w:rPr>
        <w:t xml:space="preserve">(CT) </w:t>
      </w:r>
      <w:r w:rsidRPr="00C52AA6">
        <w:rPr>
          <w:rFonts w:ascii="Arial" w:hAnsi="Arial" w:cs="Arial"/>
          <w:sz w:val="22"/>
          <w:szCs w:val="22"/>
        </w:rPr>
        <w:t xml:space="preserve">durchgeführten Angiografie </w:t>
      </w:r>
      <w:r w:rsidR="00066F5E">
        <w:rPr>
          <w:rFonts w:ascii="Arial" w:hAnsi="Arial" w:cs="Arial"/>
          <w:sz w:val="22"/>
          <w:szCs w:val="22"/>
        </w:rPr>
        <w:t xml:space="preserve">(=Darstellung der Blutgefäße) </w:t>
      </w:r>
      <w:r w:rsidRPr="00C52AA6">
        <w:rPr>
          <w:rFonts w:ascii="Arial" w:hAnsi="Arial" w:cs="Arial"/>
          <w:sz w:val="22"/>
          <w:szCs w:val="22"/>
        </w:rPr>
        <w:t xml:space="preserve">der </w:t>
      </w:r>
      <w:r w:rsidR="00066F5E">
        <w:rPr>
          <w:rFonts w:ascii="Arial" w:hAnsi="Arial" w:cs="Arial"/>
          <w:sz w:val="22"/>
          <w:szCs w:val="22"/>
        </w:rPr>
        <w:t>Lungenschlagadern (</w:t>
      </w:r>
      <w:proofErr w:type="spellStart"/>
      <w:r w:rsidRPr="00C52AA6">
        <w:rPr>
          <w:rFonts w:ascii="Arial" w:hAnsi="Arial" w:cs="Arial"/>
          <w:sz w:val="22"/>
          <w:szCs w:val="22"/>
        </w:rPr>
        <w:t>Pulmonalarterien</w:t>
      </w:r>
      <w:proofErr w:type="spellEnd"/>
      <w:r w:rsidR="00066F5E">
        <w:rPr>
          <w:rFonts w:ascii="Arial" w:hAnsi="Arial" w:cs="Arial"/>
          <w:sz w:val="22"/>
          <w:szCs w:val="22"/>
        </w:rPr>
        <w:t>)</w:t>
      </w:r>
      <w:r w:rsidRPr="00C52AA6">
        <w:rPr>
          <w:rFonts w:ascii="Arial" w:hAnsi="Arial" w:cs="Arial"/>
          <w:sz w:val="22"/>
          <w:szCs w:val="22"/>
        </w:rPr>
        <w:t xml:space="preserve"> kann die Diagnose schnell gestellt werden. </w:t>
      </w:r>
    </w:p>
    <w:p w:rsidR="00C52AA6" w:rsidRPr="00A141A1" w:rsidRDefault="00C52AA6" w:rsidP="00E933AA">
      <w:pPr>
        <w:spacing w:before="80" w:after="80"/>
        <w:rPr>
          <w:rFonts w:ascii="Arial" w:hAnsi="Arial" w:cs="Arial"/>
          <w:sz w:val="22"/>
          <w:szCs w:val="22"/>
        </w:rPr>
      </w:pPr>
      <w:r w:rsidRPr="00A141A1">
        <w:rPr>
          <w:rFonts w:ascii="Arial" w:hAnsi="Arial" w:cs="Arial"/>
          <w:sz w:val="22"/>
          <w:szCs w:val="22"/>
        </w:rPr>
        <w:t xml:space="preserve">Vor dieser Untersuchung sollte aber die </w:t>
      </w:r>
      <w:r w:rsidR="00066F5E" w:rsidRPr="00A141A1">
        <w:rPr>
          <w:rFonts w:ascii="Arial" w:hAnsi="Arial" w:cs="Arial"/>
          <w:sz w:val="22"/>
          <w:szCs w:val="22"/>
        </w:rPr>
        <w:t xml:space="preserve">sogenannte </w:t>
      </w:r>
      <w:r w:rsidRPr="00A141A1">
        <w:rPr>
          <w:rFonts w:ascii="Arial" w:hAnsi="Arial" w:cs="Arial"/>
          <w:sz w:val="22"/>
          <w:szCs w:val="22"/>
        </w:rPr>
        <w:t xml:space="preserve">„Vortestwahrscheinlichkeit“ bestimmt werden. Ist diese niedrig und das D-dimer ist negativ, kann eine </w:t>
      </w:r>
      <w:proofErr w:type="spellStart"/>
      <w:r w:rsidRPr="00A141A1">
        <w:rPr>
          <w:rFonts w:ascii="Arial" w:hAnsi="Arial" w:cs="Arial"/>
          <w:sz w:val="22"/>
          <w:szCs w:val="22"/>
        </w:rPr>
        <w:t>Pulmonalembolie</w:t>
      </w:r>
      <w:proofErr w:type="spellEnd"/>
      <w:r w:rsidRPr="00A141A1">
        <w:rPr>
          <w:rFonts w:ascii="Arial" w:hAnsi="Arial" w:cs="Arial"/>
          <w:sz w:val="22"/>
          <w:szCs w:val="22"/>
        </w:rPr>
        <w:t xml:space="preserve"> als ausgeschlossen gelten und man kann auf das CT verzichten. Sprechen Anamnese und Risikofaktoren für das Vorliegen einer Lungenembolie (hohe Vortestwahrscheinlichkeit), sollte sofort eine CT-</w:t>
      </w:r>
      <w:proofErr w:type="spellStart"/>
      <w:r w:rsidRPr="00A141A1">
        <w:rPr>
          <w:rFonts w:ascii="Arial" w:hAnsi="Arial" w:cs="Arial"/>
          <w:sz w:val="22"/>
          <w:szCs w:val="22"/>
        </w:rPr>
        <w:t>Pulmonalisangiografie</w:t>
      </w:r>
      <w:proofErr w:type="spellEnd"/>
      <w:r w:rsidRPr="00A141A1">
        <w:rPr>
          <w:rFonts w:ascii="Arial" w:hAnsi="Arial" w:cs="Arial"/>
          <w:sz w:val="22"/>
          <w:szCs w:val="22"/>
        </w:rPr>
        <w:t xml:space="preserve"> erfolgen. </w:t>
      </w:r>
    </w:p>
    <w:p w:rsidR="00C52AA6" w:rsidRPr="00C52AA6" w:rsidRDefault="00C52AA6" w:rsidP="00C52AA6">
      <w:pPr>
        <w:spacing w:before="120" w:after="80"/>
        <w:rPr>
          <w:rFonts w:ascii="Arial" w:hAnsi="Arial" w:cs="Arial"/>
          <w:b/>
          <w:sz w:val="22"/>
          <w:szCs w:val="22"/>
        </w:rPr>
      </w:pPr>
      <w:r w:rsidRPr="00C52AA6">
        <w:rPr>
          <w:rFonts w:ascii="Arial" w:hAnsi="Arial" w:cs="Arial"/>
          <w:b/>
          <w:sz w:val="22"/>
          <w:szCs w:val="22"/>
        </w:rPr>
        <w:t xml:space="preserve">Neue Therapeutika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Waren bis vor einigen Jahren zu injizierendes niedermolekulares Heparin bzw. Abwandlungen </w:t>
      </w:r>
      <w:r w:rsidR="00263ACE">
        <w:rPr>
          <w:rFonts w:ascii="Arial" w:hAnsi="Arial" w:cs="Arial"/>
          <w:sz w:val="22"/>
          <w:szCs w:val="22"/>
        </w:rPr>
        <w:t xml:space="preserve">davon </w:t>
      </w:r>
      <w:r w:rsidRPr="00C52AA6">
        <w:rPr>
          <w:rFonts w:ascii="Arial" w:hAnsi="Arial" w:cs="Arial"/>
          <w:sz w:val="22"/>
          <w:szCs w:val="22"/>
        </w:rPr>
        <w:t>(</w:t>
      </w:r>
      <w:proofErr w:type="spellStart"/>
      <w:r w:rsidRPr="00C52AA6">
        <w:rPr>
          <w:rFonts w:ascii="Arial" w:hAnsi="Arial" w:cs="Arial"/>
          <w:sz w:val="22"/>
          <w:szCs w:val="22"/>
        </w:rPr>
        <w:t>Heparinoide</w:t>
      </w:r>
      <w:proofErr w:type="spellEnd"/>
      <w:r w:rsidRPr="00C52AA6">
        <w:rPr>
          <w:rFonts w:ascii="Arial" w:hAnsi="Arial" w:cs="Arial"/>
          <w:sz w:val="22"/>
          <w:szCs w:val="22"/>
        </w:rPr>
        <w:t xml:space="preserve">) und sogenannte Vitamin K-Antagonisten (z.B. </w:t>
      </w:r>
      <w:proofErr w:type="spellStart"/>
      <w:r w:rsidRPr="00C52AA6">
        <w:rPr>
          <w:rFonts w:ascii="Arial" w:hAnsi="Arial" w:cs="Arial"/>
          <w:sz w:val="22"/>
          <w:szCs w:val="22"/>
        </w:rPr>
        <w:t>Marcoumar</w:t>
      </w:r>
      <w:proofErr w:type="spellEnd"/>
      <w:r w:rsidRPr="00C52AA6">
        <w:rPr>
          <w:rFonts w:ascii="Arial" w:hAnsi="Arial" w:cs="Arial"/>
          <w:sz w:val="22"/>
          <w:szCs w:val="22"/>
        </w:rPr>
        <w:t xml:space="preserve"> zur oralen Einnahme) jene Medikamente, die zur Behandlung und dann zur </w:t>
      </w:r>
      <w:proofErr w:type="spellStart"/>
      <w:r w:rsidRPr="00C52AA6">
        <w:rPr>
          <w:rFonts w:ascii="Arial" w:hAnsi="Arial" w:cs="Arial"/>
          <w:sz w:val="22"/>
          <w:szCs w:val="22"/>
        </w:rPr>
        <w:t>Rezidivprophylaxe</w:t>
      </w:r>
      <w:proofErr w:type="spellEnd"/>
      <w:r w:rsidRPr="00C52AA6">
        <w:rPr>
          <w:rFonts w:ascii="Arial" w:hAnsi="Arial" w:cs="Arial"/>
          <w:sz w:val="22"/>
          <w:szCs w:val="22"/>
        </w:rPr>
        <w:t xml:space="preserve"> </w:t>
      </w:r>
      <w:r w:rsidR="00263ACE">
        <w:rPr>
          <w:rFonts w:ascii="Arial" w:hAnsi="Arial" w:cs="Arial"/>
          <w:sz w:val="22"/>
          <w:szCs w:val="22"/>
        </w:rPr>
        <w:t>(=</w:t>
      </w:r>
      <w:r w:rsidR="00A141A1">
        <w:rPr>
          <w:rFonts w:ascii="Arial" w:hAnsi="Arial" w:cs="Arial"/>
          <w:sz w:val="22"/>
          <w:szCs w:val="22"/>
        </w:rPr>
        <w:t xml:space="preserve"> </w:t>
      </w:r>
      <w:r w:rsidR="00263ACE">
        <w:rPr>
          <w:rFonts w:ascii="Arial" w:hAnsi="Arial" w:cs="Arial"/>
          <w:sz w:val="22"/>
          <w:szCs w:val="22"/>
        </w:rPr>
        <w:t xml:space="preserve">Vermeidung eines Wiederauftreten der Erkrankung) </w:t>
      </w:r>
      <w:r w:rsidRPr="00C52AA6">
        <w:rPr>
          <w:rFonts w:ascii="Arial" w:hAnsi="Arial" w:cs="Arial"/>
          <w:sz w:val="22"/>
          <w:szCs w:val="22"/>
        </w:rPr>
        <w:t>eingesetzt wurden, so hat sich dieses Bild deutlich gewandelt. Prof. Olschewski: „In den vergangenen Jahren wurden neue direkte oral einzunehmende Blutgeri</w:t>
      </w:r>
      <w:r w:rsidR="00461C60">
        <w:rPr>
          <w:rFonts w:ascii="Arial" w:hAnsi="Arial" w:cs="Arial"/>
          <w:sz w:val="22"/>
          <w:szCs w:val="22"/>
        </w:rPr>
        <w:t>n</w:t>
      </w:r>
      <w:r w:rsidRPr="00C52AA6">
        <w:rPr>
          <w:rFonts w:ascii="Arial" w:hAnsi="Arial" w:cs="Arial"/>
          <w:sz w:val="22"/>
          <w:szCs w:val="22"/>
        </w:rPr>
        <w:t xml:space="preserve">nungshemmer zugelassen. Es gibt bereits mehrere davon.“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Es handelt sich dabei um Wirkstoffe, die entweder den Blutgerinnungsfaktor </w:t>
      </w:r>
      <w:proofErr w:type="spellStart"/>
      <w:r w:rsidRPr="00C52AA6">
        <w:rPr>
          <w:rFonts w:ascii="Arial" w:hAnsi="Arial" w:cs="Arial"/>
          <w:sz w:val="22"/>
          <w:szCs w:val="22"/>
        </w:rPr>
        <w:t>IIa</w:t>
      </w:r>
      <w:proofErr w:type="spellEnd"/>
      <w:r w:rsidRPr="00C52AA6">
        <w:rPr>
          <w:rFonts w:ascii="Arial" w:hAnsi="Arial" w:cs="Arial"/>
          <w:sz w:val="22"/>
          <w:szCs w:val="22"/>
        </w:rPr>
        <w:t xml:space="preserve"> oder </w:t>
      </w:r>
      <w:r w:rsidR="00263ACE">
        <w:rPr>
          <w:rFonts w:ascii="Arial" w:hAnsi="Arial" w:cs="Arial"/>
          <w:sz w:val="22"/>
          <w:szCs w:val="22"/>
        </w:rPr>
        <w:t xml:space="preserve">den </w:t>
      </w:r>
      <w:r w:rsidRPr="00C52AA6">
        <w:rPr>
          <w:rFonts w:ascii="Arial" w:hAnsi="Arial" w:cs="Arial"/>
          <w:sz w:val="22"/>
          <w:szCs w:val="22"/>
        </w:rPr>
        <w:t xml:space="preserve">Blutgerinnungsfaktor </w:t>
      </w:r>
      <w:proofErr w:type="spellStart"/>
      <w:r w:rsidRPr="00C52AA6">
        <w:rPr>
          <w:rFonts w:ascii="Arial" w:hAnsi="Arial" w:cs="Arial"/>
          <w:sz w:val="22"/>
          <w:szCs w:val="22"/>
        </w:rPr>
        <w:t>Xa</w:t>
      </w:r>
      <w:proofErr w:type="spellEnd"/>
      <w:r w:rsidRPr="00C52AA6">
        <w:rPr>
          <w:rFonts w:ascii="Arial" w:hAnsi="Arial" w:cs="Arial"/>
          <w:sz w:val="22"/>
          <w:szCs w:val="22"/>
        </w:rPr>
        <w:t xml:space="preserve"> hemmen. Der Grazer Experte: „Die Wirkung setzt schnell ein. Die Halbwertszeit beträgt unter 24 Stunden.“ Der Vorteil dieser Substanzen</w:t>
      </w:r>
      <w:r w:rsidR="00263ACE">
        <w:rPr>
          <w:rFonts w:ascii="Arial" w:hAnsi="Arial" w:cs="Arial"/>
          <w:sz w:val="22"/>
          <w:szCs w:val="22"/>
        </w:rPr>
        <w:t xml:space="preserve"> (</w:t>
      </w:r>
      <w:r w:rsidRPr="00C52AA6">
        <w:rPr>
          <w:rFonts w:ascii="Arial" w:hAnsi="Arial" w:cs="Arial"/>
          <w:sz w:val="22"/>
          <w:szCs w:val="22"/>
        </w:rPr>
        <w:t xml:space="preserve">unter ihnen </w:t>
      </w:r>
      <w:r w:rsidR="00263ACE">
        <w:rPr>
          <w:rFonts w:ascii="Arial" w:hAnsi="Arial" w:cs="Arial"/>
          <w:sz w:val="22"/>
          <w:szCs w:val="22"/>
        </w:rPr>
        <w:t xml:space="preserve">die Wirkstoffe </w:t>
      </w:r>
      <w:proofErr w:type="spellStart"/>
      <w:r w:rsidRPr="00C52AA6">
        <w:rPr>
          <w:rFonts w:ascii="Arial" w:hAnsi="Arial" w:cs="Arial"/>
          <w:sz w:val="22"/>
          <w:szCs w:val="22"/>
        </w:rPr>
        <w:t>Rivaroxaban</w:t>
      </w:r>
      <w:proofErr w:type="spellEnd"/>
      <w:r w:rsidRPr="00C52AA6">
        <w:rPr>
          <w:rFonts w:ascii="Arial" w:hAnsi="Arial" w:cs="Arial"/>
          <w:sz w:val="22"/>
          <w:szCs w:val="22"/>
        </w:rPr>
        <w:t xml:space="preserve">, </w:t>
      </w:r>
      <w:proofErr w:type="spellStart"/>
      <w:r w:rsidRPr="00C52AA6">
        <w:rPr>
          <w:rFonts w:ascii="Arial" w:hAnsi="Arial" w:cs="Arial"/>
          <w:sz w:val="22"/>
          <w:szCs w:val="22"/>
        </w:rPr>
        <w:t>Dabigatran</w:t>
      </w:r>
      <w:proofErr w:type="spellEnd"/>
      <w:r w:rsidRPr="00C52AA6">
        <w:rPr>
          <w:rFonts w:ascii="Arial" w:hAnsi="Arial" w:cs="Arial"/>
          <w:sz w:val="22"/>
          <w:szCs w:val="22"/>
        </w:rPr>
        <w:t xml:space="preserve">, </w:t>
      </w:r>
      <w:proofErr w:type="spellStart"/>
      <w:r w:rsidRPr="00C52AA6">
        <w:rPr>
          <w:rFonts w:ascii="Arial" w:hAnsi="Arial" w:cs="Arial"/>
          <w:sz w:val="22"/>
          <w:szCs w:val="22"/>
        </w:rPr>
        <w:t>Apixaban</w:t>
      </w:r>
      <w:proofErr w:type="spellEnd"/>
      <w:r w:rsidRPr="00C52AA6">
        <w:rPr>
          <w:rFonts w:ascii="Arial" w:hAnsi="Arial" w:cs="Arial"/>
          <w:sz w:val="22"/>
          <w:szCs w:val="22"/>
        </w:rPr>
        <w:t xml:space="preserve"> und </w:t>
      </w:r>
      <w:proofErr w:type="spellStart"/>
      <w:r w:rsidRPr="00C52AA6">
        <w:rPr>
          <w:rFonts w:ascii="Arial" w:hAnsi="Arial" w:cs="Arial"/>
          <w:sz w:val="22"/>
          <w:szCs w:val="22"/>
        </w:rPr>
        <w:t>Edoxaban</w:t>
      </w:r>
      <w:proofErr w:type="spellEnd"/>
      <w:r w:rsidR="00263ACE">
        <w:rPr>
          <w:rFonts w:ascii="Arial" w:hAnsi="Arial" w:cs="Arial"/>
          <w:sz w:val="22"/>
          <w:szCs w:val="22"/>
        </w:rPr>
        <w:t>)</w:t>
      </w:r>
      <w:r w:rsidRPr="00C52AA6">
        <w:rPr>
          <w:rFonts w:ascii="Arial" w:hAnsi="Arial" w:cs="Arial"/>
          <w:sz w:val="22"/>
          <w:szCs w:val="22"/>
        </w:rPr>
        <w:t xml:space="preserve"> liegt in einer relativ einfachen Dosierbarkeit</w:t>
      </w:r>
      <w:r w:rsidR="00263ACE">
        <w:rPr>
          <w:rFonts w:ascii="Arial" w:hAnsi="Arial" w:cs="Arial"/>
          <w:sz w:val="22"/>
          <w:szCs w:val="22"/>
        </w:rPr>
        <w:t>:</w:t>
      </w:r>
      <w:r w:rsidRPr="00C52AA6">
        <w:rPr>
          <w:rFonts w:ascii="Arial" w:hAnsi="Arial" w:cs="Arial"/>
          <w:sz w:val="22"/>
          <w:szCs w:val="22"/>
        </w:rPr>
        <w:t xml:space="preserve"> Zusätzlich muss </w:t>
      </w:r>
      <w:r w:rsidR="00263ACE" w:rsidRPr="00C52AA6">
        <w:rPr>
          <w:rFonts w:ascii="Arial" w:hAnsi="Arial" w:cs="Arial"/>
          <w:sz w:val="22"/>
          <w:szCs w:val="22"/>
        </w:rPr>
        <w:t xml:space="preserve">der Blutgerinnungsstatus </w:t>
      </w:r>
      <w:r w:rsidRPr="00C52AA6">
        <w:rPr>
          <w:rFonts w:ascii="Arial" w:hAnsi="Arial" w:cs="Arial"/>
          <w:sz w:val="22"/>
          <w:szCs w:val="22"/>
        </w:rPr>
        <w:t xml:space="preserve">nicht, wie bei </w:t>
      </w:r>
      <w:proofErr w:type="spellStart"/>
      <w:r w:rsidRPr="00C52AA6">
        <w:rPr>
          <w:rFonts w:ascii="Arial" w:hAnsi="Arial" w:cs="Arial"/>
          <w:sz w:val="22"/>
          <w:szCs w:val="22"/>
        </w:rPr>
        <w:t>Marcoumar</w:t>
      </w:r>
      <w:proofErr w:type="spellEnd"/>
      <w:r w:rsidRPr="00C52AA6">
        <w:rPr>
          <w:rFonts w:ascii="Arial" w:hAnsi="Arial" w:cs="Arial"/>
          <w:sz w:val="22"/>
          <w:szCs w:val="22"/>
        </w:rPr>
        <w:t>, regelmäßig per Laboruntersuchung getestet werden.</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Doch es gibt zwischen den Medikamenten Unterschiede, die bei der Behandlung </w:t>
      </w:r>
      <w:r w:rsidR="00263ACE">
        <w:rPr>
          <w:rFonts w:ascii="Arial" w:hAnsi="Arial" w:cs="Arial"/>
          <w:sz w:val="22"/>
          <w:szCs w:val="22"/>
        </w:rPr>
        <w:t xml:space="preserve">der </w:t>
      </w:r>
      <w:r w:rsidRPr="00C52AA6">
        <w:rPr>
          <w:rFonts w:ascii="Arial" w:hAnsi="Arial" w:cs="Arial"/>
          <w:sz w:val="22"/>
          <w:szCs w:val="22"/>
        </w:rPr>
        <w:t xml:space="preserve">Patienten wichtig sein können. Prof. Olschewski: „Bei Kranken mit eingeschränkter Nieren- oder Leberfunktion und im höheren Alter oder bei niedrigem Körpergewicht muss man eventuell die Dosis anpassen.“ Hier gelten etwas unterschiedliche Regeln für jedes einzelne Mittel.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An sich – die großen Studien an Patienten mit den neuen Mitteln waren vor allem darauf ausgerichtet, ihre gleiche Wirksamkeit im Verhältnis zu Heparin und </w:t>
      </w:r>
      <w:proofErr w:type="spellStart"/>
      <w:r w:rsidRPr="00C52AA6">
        <w:rPr>
          <w:rFonts w:ascii="Arial" w:hAnsi="Arial" w:cs="Arial"/>
          <w:sz w:val="22"/>
          <w:szCs w:val="22"/>
        </w:rPr>
        <w:t>Marcoumar</w:t>
      </w:r>
      <w:proofErr w:type="spellEnd"/>
      <w:r w:rsidRPr="00C52AA6">
        <w:rPr>
          <w:rFonts w:ascii="Arial" w:hAnsi="Arial" w:cs="Arial"/>
          <w:sz w:val="22"/>
          <w:szCs w:val="22"/>
        </w:rPr>
        <w:t xml:space="preserve"> bei weniger Nebenwirkungen (Blutungen; Anm.) zu belegen – zeigte sich </w:t>
      </w:r>
      <w:r w:rsidR="00263ACE" w:rsidRPr="00C52AA6">
        <w:rPr>
          <w:rFonts w:ascii="Arial" w:hAnsi="Arial" w:cs="Arial"/>
          <w:sz w:val="22"/>
          <w:szCs w:val="22"/>
        </w:rPr>
        <w:t xml:space="preserve">bei Verwendung der neuen Arzneimittel </w:t>
      </w:r>
      <w:r w:rsidRPr="00C52AA6">
        <w:rPr>
          <w:rFonts w:ascii="Arial" w:hAnsi="Arial" w:cs="Arial"/>
          <w:sz w:val="22"/>
          <w:szCs w:val="22"/>
        </w:rPr>
        <w:t xml:space="preserve">ein eher besseres Nebenwirkungsprofil.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Bedenken gab es zunächst, dass akut auftretende Blutungen unter Therapie mit diesen neuen Arzneimitteln eventuell schlecht in den Griff zu bekommen wären. Bei </w:t>
      </w:r>
      <w:proofErr w:type="spellStart"/>
      <w:r w:rsidRPr="00C52AA6">
        <w:rPr>
          <w:rFonts w:ascii="Arial" w:hAnsi="Arial" w:cs="Arial"/>
          <w:sz w:val="22"/>
          <w:szCs w:val="22"/>
        </w:rPr>
        <w:t>Marcoumar</w:t>
      </w:r>
      <w:proofErr w:type="spellEnd"/>
      <w:r w:rsidRPr="00C52AA6">
        <w:rPr>
          <w:rFonts w:ascii="Arial" w:hAnsi="Arial" w:cs="Arial"/>
          <w:sz w:val="22"/>
          <w:szCs w:val="22"/>
        </w:rPr>
        <w:t xml:space="preserve"> kann in einem solchen Fall zum Beispiel Vitamin K oder Frischplasma als Antidot </w:t>
      </w:r>
      <w:r w:rsidR="00263ACE">
        <w:rPr>
          <w:rFonts w:ascii="Arial" w:hAnsi="Arial" w:cs="Arial"/>
          <w:sz w:val="22"/>
          <w:szCs w:val="22"/>
        </w:rPr>
        <w:t xml:space="preserve">(„Gegengift“) </w:t>
      </w:r>
      <w:r w:rsidRPr="00C52AA6">
        <w:rPr>
          <w:rFonts w:ascii="Arial" w:hAnsi="Arial" w:cs="Arial"/>
          <w:sz w:val="22"/>
          <w:szCs w:val="22"/>
        </w:rPr>
        <w:t xml:space="preserve">verabreicht werden, die Wirkung von Heparin lässt sich mit einem </w:t>
      </w:r>
      <w:r w:rsidR="00263ACE">
        <w:rPr>
          <w:rFonts w:ascii="Arial" w:hAnsi="Arial" w:cs="Arial"/>
          <w:sz w:val="22"/>
          <w:szCs w:val="22"/>
        </w:rPr>
        <w:t xml:space="preserve">anderen </w:t>
      </w:r>
      <w:r w:rsidRPr="00C52AA6">
        <w:rPr>
          <w:rFonts w:ascii="Arial" w:hAnsi="Arial" w:cs="Arial"/>
          <w:sz w:val="22"/>
          <w:szCs w:val="22"/>
        </w:rPr>
        <w:t xml:space="preserve">speziellen Antidot aufheben. „Mittlerweile hat man aber erkannt, dass Frischplasma auch bei einigen neuen </w:t>
      </w:r>
      <w:proofErr w:type="spellStart"/>
      <w:r w:rsidRPr="00C52AA6">
        <w:rPr>
          <w:rFonts w:ascii="Arial" w:hAnsi="Arial" w:cs="Arial"/>
          <w:sz w:val="22"/>
          <w:szCs w:val="22"/>
        </w:rPr>
        <w:t>Blutgerinnungshemmern</w:t>
      </w:r>
      <w:proofErr w:type="spellEnd"/>
      <w:r w:rsidRPr="00C52AA6">
        <w:rPr>
          <w:rFonts w:ascii="Arial" w:hAnsi="Arial" w:cs="Arial"/>
          <w:sz w:val="22"/>
          <w:szCs w:val="22"/>
        </w:rPr>
        <w:t xml:space="preserve"> im Falle des Auftretens von Blutungen h</w:t>
      </w:r>
      <w:r w:rsidR="00235C33">
        <w:rPr>
          <w:rFonts w:ascii="Arial" w:hAnsi="Arial" w:cs="Arial"/>
          <w:sz w:val="22"/>
          <w:szCs w:val="22"/>
        </w:rPr>
        <w:t>ilft</w:t>
      </w:r>
      <w:r w:rsidRPr="00C52AA6">
        <w:rPr>
          <w:rFonts w:ascii="Arial" w:hAnsi="Arial" w:cs="Arial"/>
          <w:sz w:val="22"/>
          <w:szCs w:val="22"/>
        </w:rPr>
        <w:t xml:space="preserve">“, sagte Prof. Olschewski. Ein spezielles Antidot zum Wirkstoff </w:t>
      </w:r>
      <w:proofErr w:type="spellStart"/>
      <w:r w:rsidRPr="00C52AA6">
        <w:rPr>
          <w:rFonts w:ascii="Arial" w:hAnsi="Arial" w:cs="Arial"/>
          <w:sz w:val="22"/>
          <w:szCs w:val="22"/>
        </w:rPr>
        <w:t>Dabigatran</w:t>
      </w:r>
      <w:proofErr w:type="spellEnd"/>
      <w:r w:rsidRPr="00C52AA6">
        <w:rPr>
          <w:rFonts w:ascii="Arial" w:hAnsi="Arial" w:cs="Arial"/>
          <w:sz w:val="22"/>
          <w:szCs w:val="22"/>
        </w:rPr>
        <w:t xml:space="preserve"> ist erst vor kurzem zugelassen worden. Es könnte Bedeutung bei Notoperationen bei Patienten bekommen, die dieses Medikament erhalten. </w:t>
      </w:r>
    </w:p>
    <w:p w:rsidR="00C52AA6" w:rsidRPr="00C52AA6" w:rsidRDefault="00C52AA6" w:rsidP="00C52AA6">
      <w:pPr>
        <w:spacing w:before="120" w:after="80"/>
        <w:rPr>
          <w:rFonts w:ascii="Arial" w:hAnsi="Arial" w:cs="Arial"/>
          <w:b/>
          <w:sz w:val="22"/>
          <w:szCs w:val="22"/>
        </w:rPr>
      </w:pPr>
      <w:r w:rsidRPr="00C52AA6">
        <w:rPr>
          <w:rFonts w:ascii="Arial" w:hAnsi="Arial" w:cs="Arial"/>
          <w:b/>
          <w:sz w:val="22"/>
          <w:szCs w:val="22"/>
        </w:rPr>
        <w:t>Verhinderung von Rückfällen</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Ist es schon einmal zu einer venösen </w:t>
      </w:r>
      <w:proofErr w:type="spellStart"/>
      <w:r w:rsidRPr="00C52AA6">
        <w:rPr>
          <w:rFonts w:ascii="Arial" w:hAnsi="Arial" w:cs="Arial"/>
          <w:sz w:val="22"/>
          <w:szCs w:val="22"/>
        </w:rPr>
        <w:t>Thromboembolie</w:t>
      </w:r>
      <w:proofErr w:type="spellEnd"/>
      <w:r w:rsidRPr="00C52AA6">
        <w:rPr>
          <w:rFonts w:ascii="Arial" w:hAnsi="Arial" w:cs="Arial"/>
          <w:sz w:val="22"/>
          <w:szCs w:val="22"/>
        </w:rPr>
        <w:t xml:space="preserve">, speziell zu einer </w:t>
      </w:r>
      <w:proofErr w:type="spellStart"/>
      <w:r w:rsidRPr="00C52AA6">
        <w:rPr>
          <w:rFonts w:ascii="Arial" w:hAnsi="Arial" w:cs="Arial"/>
          <w:sz w:val="22"/>
          <w:szCs w:val="22"/>
        </w:rPr>
        <w:t>Pulmonalembolie</w:t>
      </w:r>
      <w:proofErr w:type="spellEnd"/>
      <w:r w:rsidRPr="00C52AA6">
        <w:rPr>
          <w:rFonts w:ascii="Arial" w:hAnsi="Arial" w:cs="Arial"/>
          <w:sz w:val="22"/>
          <w:szCs w:val="22"/>
        </w:rPr>
        <w:t>, gekommen</w:t>
      </w:r>
      <w:r w:rsidR="00235C33">
        <w:rPr>
          <w:rFonts w:ascii="Arial" w:hAnsi="Arial" w:cs="Arial"/>
          <w:sz w:val="22"/>
          <w:szCs w:val="22"/>
        </w:rPr>
        <w:t>,</w:t>
      </w:r>
      <w:r w:rsidRPr="00C52AA6">
        <w:rPr>
          <w:rFonts w:ascii="Arial" w:hAnsi="Arial" w:cs="Arial"/>
          <w:sz w:val="22"/>
          <w:szCs w:val="22"/>
        </w:rPr>
        <w:t xml:space="preserve"> bleibt ein erhöhtes Risiko bestehen. „Die </w:t>
      </w:r>
      <w:proofErr w:type="spellStart"/>
      <w:r w:rsidRPr="00C52AA6">
        <w:rPr>
          <w:rFonts w:ascii="Arial" w:hAnsi="Arial" w:cs="Arial"/>
          <w:sz w:val="22"/>
          <w:szCs w:val="22"/>
        </w:rPr>
        <w:t>Rezidivrate</w:t>
      </w:r>
      <w:proofErr w:type="spellEnd"/>
      <w:r w:rsidRPr="00C52AA6">
        <w:rPr>
          <w:rFonts w:ascii="Arial" w:hAnsi="Arial" w:cs="Arial"/>
          <w:sz w:val="22"/>
          <w:szCs w:val="22"/>
        </w:rPr>
        <w:t xml:space="preserve"> beträgt etwa sieben Prozent pro Jahr“, sagte Prof. Olschewski. Die Frage ist, wie man weitere akute Zwischenfälle dieser Art verhindern kann. Der Grazer Experte: „Es hat sich herausgestellt, dass wahrscheinlich eine längerfristige Gabe der die Blutgerinnung hemmenden Medikamente vorteilhaft ist.“</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Auf der anderen Seite wäre es günstig, eine längere </w:t>
      </w:r>
      <w:proofErr w:type="spellStart"/>
      <w:r w:rsidRPr="00C52AA6">
        <w:rPr>
          <w:rFonts w:ascii="Arial" w:hAnsi="Arial" w:cs="Arial"/>
          <w:sz w:val="22"/>
          <w:szCs w:val="22"/>
        </w:rPr>
        <w:t>Rezidivprophylaxe</w:t>
      </w:r>
      <w:proofErr w:type="spellEnd"/>
      <w:r w:rsidRPr="00C52AA6">
        <w:rPr>
          <w:rFonts w:ascii="Arial" w:hAnsi="Arial" w:cs="Arial"/>
          <w:sz w:val="22"/>
          <w:szCs w:val="22"/>
        </w:rPr>
        <w:t xml:space="preserve"> auf jene Personen zu konzentrieren, welche das größte Risiko für weitere Embolien und somit den größten Vorteil einer solchen Behandlung haben. Hier könnte der D-Dimer-Labortest helfen. An sich wird dieser Test eingesetzt, um bei Patienten mit verdächtigen Symptomen, aber einer geringen Wahrscheinlichkeit für das Vorliegen einer Lungenembolie, diese auszuschließen. Doch man könnte den Test auf ein Fibrin-Abbauprodukt (höhere Werte, stärker aktiviertes Blutgerinnungssystem) auch für die Vorhersage von weiteren </w:t>
      </w:r>
      <w:proofErr w:type="spellStart"/>
      <w:r w:rsidRPr="00C52AA6">
        <w:rPr>
          <w:rFonts w:ascii="Arial" w:hAnsi="Arial" w:cs="Arial"/>
          <w:sz w:val="22"/>
          <w:szCs w:val="22"/>
        </w:rPr>
        <w:t>Thromboembolien</w:t>
      </w:r>
      <w:proofErr w:type="spellEnd"/>
      <w:r w:rsidRPr="00C52AA6">
        <w:rPr>
          <w:rFonts w:ascii="Arial" w:hAnsi="Arial" w:cs="Arial"/>
          <w:sz w:val="22"/>
          <w:szCs w:val="22"/>
        </w:rPr>
        <w:t xml:space="preserve"> verwenden.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Prof. Olschewski: „Wenn der VTE kein plausibler Auslöser zugrunde lag, dürfte eine längere medikamentöse </w:t>
      </w:r>
      <w:proofErr w:type="spellStart"/>
      <w:r w:rsidRPr="00C52AA6">
        <w:rPr>
          <w:rFonts w:ascii="Arial" w:hAnsi="Arial" w:cs="Arial"/>
          <w:sz w:val="22"/>
          <w:szCs w:val="22"/>
        </w:rPr>
        <w:t>Rezidivprophylaxe</w:t>
      </w:r>
      <w:proofErr w:type="spellEnd"/>
      <w:r w:rsidRPr="00C52AA6">
        <w:rPr>
          <w:rFonts w:ascii="Arial" w:hAnsi="Arial" w:cs="Arial"/>
          <w:sz w:val="22"/>
          <w:szCs w:val="22"/>
        </w:rPr>
        <w:t xml:space="preserve"> besser als eine kürzere sein. Wenn man sich über den Auslöser unsicher ist, kann es Sinn machen, das D-dimer zu Hilfe zu nehmen. Wenn man sieht, dass der D-Dimer-Wert nach 6 Monaten  Antikoagulation normal ist, kann man die Behandlung für vier Wochen pausieren und dann noch einmal untersuchen.“ Ist der D-Dimer-Wert im Blut dann wieder positiv, liegt ein erhöhtes Risiko für eine neuerliche </w:t>
      </w:r>
      <w:proofErr w:type="spellStart"/>
      <w:r w:rsidRPr="00C52AA6">
        <w:rPr>
          <w:rFonts w:ascii="Arial" w:hAnsi="Arial" w:cs="Arial"/>
          <w:sz w:val="22"/>
          <w:szCs w:val="22"/>
        </w:rPr>
        <w:t>Thromboembolie</w:t>
      </w:r>
      <w:proofErr w:type="spellEnd"/>
      <w:r w:rsidRPr="00C52AA6">
        <w:rPr>
          <w:rFonts w:ascii="Arial" w:hAnsi="Arial" w:cs="Arial"/>
          <w:sz w:val="22"/>
          <w:szCs w:val="22"/>
        </w:rPr>
        <w:t xml:space="preserve"> vor und man sollte lieber wieder die Antikoagulation fortsetzen. Ist auch der zweite Test negativ, kann man auf die Gerinnungshemmung verzichten.  </w:t>
      </w:r>
    </w:p>
    <w:p w:rsidR="00C52AA6" w:rsidRPr="00C52AA6" w:rsidRDefault="00C52AA6" w:rsidP="00E933AA">
      <w:pPr>
        <w:spacing w:before="80" w:after="80"/>
        <w:rPr>
          <w:rFonts w:ascii="Arial" w:hAnsi="Arial" w:cs="Arial"/>
          <w:sz w:val="22"/>
          <w:szCs w:val="22"/>
        </w:rPr>
      </w:pPr>
      <w:r w:rsidRPr="00C52AA6">
        <w:rPr>
          <w:rFonts w:ascii="Arial" w:hAnsi="Arial" w:cs="Arial"/>
          <w:sz w:val="22"/>
          <w:szCs w:val="22"/>
        </w:rPr>
        <w:t xml:space="preserve">Doch die Angelegenheit ist diffizil. Der Grazer Experte: „Männer haben ein höheres </w:t>
      </w:r>
      <w:proofErr w:type="spellStart"/>
      <w:r w:rsidRPr="00C52AA6">
        <w:rPr>
          <w:rFonts w:ascii="Arial" w:hAnsi="Arial" w:cs="Arial"/>
          <w:sz w:val="22"/>
          <w:szCs w:val="22"/>
        </w:rPr>
        <w:t>Rezidivrisiko</w:t>
      </w:r>
      <w:proofErr w:type="spellEnd"/>
      <w:r w:rsidRPr="00C52AA6">
        <w:rPr>
          <w:rFonts w:ascii="Arial" w:hAnsi="Arial" w:cs="Arial"/>
          <w:sz w:val="22"/>
          <w:szCs w:val="22"/>
        </w:rPr>
        <w:t xml:space="preserve"> als Frauen.“ Wenn das D-Dimer im Blut  bei Frauen, die keine Östrogen-Präparate eingenommen haben, unter Antikoagulation negativ ist, und nach dem Absetzen der Antikoagulation negativ bleibt, kann auf die weitere Verwendung der Blutgerinnungshemmer verzichtet werden. Bei „Pille“-Verwenderinnen ist nach zwei negativen Tests das </w:t>
      </w:r>
      <w:proofErr w:type="spellStart"/>
      <w:r w:rsidRPr="00C52AA6">
        <w:rPr>
          <w:rFonts w:ascii="Arial" w:hAnsi="Arial" w:cs="Arial"/>
          <w:sz w:val="22"/>
          <w:szCs w:val="22"/>
        </w:rPr>
        <w:t>Rezidivrisiko</w:t>
      </w:r>
      <w:proofErr w:type="spellEnd"/>
      <w:r w:rsidRPr="00C52AA6">
        <w:rPr>
          <w:rFonts w:ascii="Arial" w:hAnsi="Arial" w:cs="Arial"/>
          <w:sz w:val="22"/>
          <w:szCs w:val="22"/>
        </w:rPr>
        <w:t xml:space="preserve"> </w:t>
      </w:r>
      <w:proofErr w:type="spellStart"/>
      <w:r w:rsidRPr="00C52AA6">
        <w:rPr>
          <w:rFonts w:ascii="Arial" w:hAnsi="Arial" w:cs="Arial"/>
          <w:sz w:val="22"/>
          <w:szCs w:val="22"/>
        </w:rPr>
        <w:t>bei Null</w:t>
      </w:r>
      <w:proofErr w:type="spellEnd"/>
      <w:r w:rsidRPr="00C52AA6">
        <w:rPr>
          <w:rFonts w:ascii="Arial" w:hAnsi="Arial" w:cs="Arial"/>
          <w:sz w:val="22"/>
          <w:szCs w:val="22"/>
        </w:rPr>
        <w:t>. „Bei Männern wird man aber selbst nach zwei negativen D-Dimer Tests die Antikoagulation länger fortsetzen. Wir Männer haben da einfach ein höheres Risiko.“</w:t>
      </w:r>
    </w:p>
    <w:p w:rsidR="00C52AA6" w:rsidRDefault="00C52AA6" w:rsidP="00C52AA6"/>
    <w:p w:rsidR="00527B4A" w:rsidRPr="00DB050E" w:rsidRDefault="00527B4A" w:rsidP="00527B4A">
      <w:pPr>
        <w:rPr>
          <w:rFonts w:ascii="Arial" w:hAnsi="Arial" w:cs="Arial"/>
          <w:sz w:val="20"/>
          <w:szCs w:val="20"/>
        </w:rPr>
      </w:pPr>
      <w:r w:rsidRPr="00CB0683">
        <w:rPr>
          <w:rFonts w:ascii="Arial" w:hAnsi="Arial" w:cs="Arial"/>
          <w:b/>
          <w:sz w:val="20"/>
          <w:szCs w:val="20"/>
        </w:rPr>
        <w:t xml:space="preserve">*  </w:t>
      </w:r>
      <w:r w:rsidRPr="00CB0683">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527B4A" w:rsidRDefault="00527B4A" w:rsidP="00C52AA6"/>
    <w:p w:rsidR="00B41E7E" w:rsidRDefault="00B41E7E" w:rsidP="00B41E7E">
      <w:pPr>
        <w:rPr>
          <w:rFonts w:ascii="Arial" w:hAnsi="Arial" w:cs="Arial"/>
          <w:b/>
          <w:sz w:val="22"/>
          <w:szCs w:val="20"/>
          <w:u w:val="single"/>
        </w:rPr>
      </w:pPr>
    </w:p>
    <w:p w:rsidR="00B41E7E" w:rsidRPr="00A141A1" w:rsidRDefault="00A141A1" w:rsidP="00B41E7E">
      <w:pPr>
        <w:rPr>
          <w:rFonts w:ascii="Arial" w:hAnsi="Arial" w:cs="Arial"/>
          <w:b/>
          <w:sz w:val="22"/>
          <w:szCs w:val="20"/>
          <w:u w:val="single"/>
          <w:lang w:val="en-US"/>
        </w:rPr>
      </w:pPr>
      <w:r w:rsidRPr="00A141A1">
        <w:rPr>
          <w:rFonts w:ascii="Arial" w:hAnsi="Arial" w:cs="Arial"/>
          <w:b/>
          <w:sz w:val="22"/>
          <w:szCs w:val="20"/>
          <w:u w:val="single"/>
          <w:lang w:val="en-US"/>
        </w:rPr>
        <w:t>Rückfragen</w:t>
      </w:r>
    </w:p>
    <w:p w:rsidR="00B41E7E" w:rsidRPr="00A141A1" w:rsidRDefault="00B41E7E" w:rsidP="00B41E7E">
      <w:pPr>
        <w:rPr>
          <w:rFonts w:ascii="Arial" w:hAnsi="Arial" w:cs="Arial"/>
          <w:b/>
          <w:sz w:val="20"/>
          <w:szCs w:val="20"/>
          <w:lang w:val="en-US"/>
        </w:rPr>
      </w:pPr>
    </w:p>
    <w:p w:rsidR="00B41E7E" w:rsidRPr="00B712F7" w:rsidRDefault="00B41E7E" w:rsidP="00B41E7E">
      <w:pPr>
        <w:rPr>
          <w:rFonts w:ascii="Arial" w:hAnsi="Arial" w:cs="Arial"/>
          <w:sz w:val="20"/>
          <w:szCs w:val="20"/>
          <w:lang w:val="en-US"/>
        </w:rPr>
      </w:pPr>
      <w:r w:rsidRPr="00B712F7">
        <w:rPr>
          <w:rFonts w:ascii="Arial" w:hAnsi="Arial" w:cs="Arial"/>
          <w:sz w:val="20"/>
          <w:szCs w:val="20"/>
          <w:lang w:val="en-US"/>
        </w:rPr>
        <w:t>Urban &amp; Schenk medical media consulting</w:t>
      </w:r>
    </w:p>
    <w:p w:rsidR="00B41E7E" w:rsidRPr="00B712F7" w:rsidRDefault="00B41E7E" w:rsidP="00B41E7E">
      <w:pPr>
        <w:rPr>
          <w:rFonts w:ascii="Arial" w:hAnsi="Arial" w:cs="Arial"/>
          <w:sz w:val="20"/>
          <w:szCs w:val="20"/>
          <w:lang w:val="en-US"/>
        </w:rPr>
      </w:pPr>
      <w:r w:rsidRPr="00B712F7">
        <w:rPr>
          <w:rFonts w:ascii="Arial" w:hAnsi="Arial" w:cs="Arial"/>
          <w:sz w:val="20"/>
          <w:szCs w:val="20"/>
          <w:lang w:val="en-US"/>
        </w:rPr>
        <w:t>Barbara Urban: 0664/41 69 4 59, barbara.urban@medical-media-consulting.at</w:t>
      </w:r>
    </w:p>
    <w:p w:rsidR="008904C7" w:rsidRPr="0043710F" w:rsidRDefault="00B41E7E" w:rsidP="00D30D44">
      <w:pPr>
        <w:rPr>
          <w:rFonts w:ascii="Arial" w:hAnsi="Arial" w:cs="Arial"/>
          <w:szCs w:val="20"/>
        </w:rPr>
      </w:pPr>
      <w:r w:rsidRPr="00B712F7">
        <w:rPr>
          <w:rFonts w:ascii="Arial" w:hAnsi="Arial" w:cs="Arial"/>
          <w:sz w:val="20"/>
          <w:szCs w:val="20"/>
          <w:lang w:val="de-AT"/>
        </w:rPr>
        <w:t xml:space="preserve">Mag. Harald Schenk: 0664/160 75 99, </w:t>
      </w:r>
      <w:hyperlink r:id="rId9" w:history="1">
        <w:r w:rsidRPr="00B712F7">
          <w:rPr>
            <w:rFonts w:ascii="Arial" w:hAnsi="Arial" w:cs="Arial"/>
            <w:sz w:val="20"/>
            <w:szCs w:val="20"/>
            <w:lang w:val="de-AT"/>
          </w:rPr>
          <w:t>harald.schenk@medical-media-consulting.at</w:t>
        </w:r>
      </w:hyperlink>
    </w:p>
    <w:sectPr w:rsidR="008904C7" w:rsidRPr="0043710F" w:rsidSect="000263D8">
      <w:footerReference w:type="even" r:id="rId10"/>
      <w:footerReference w:type="default" r:id="rId11"/>
      <w:headerReference w:type="first" r:id="rId12"/>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61" w:rsidRDefault="00191D61">
      <w:r>
        <w:separator/>
      </w:r>
    </w:p>
  </w:endnote>
  <w:endnote w:type="continuationSeparator" w:id="0">
    <w:p w:rsidR="00191D61" w:rsidRDefault="00191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63AA1"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2F062C" w:rsidRDefault="00D63AA1"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DE2D0C">
      <w:rPr>
        <w:rStyle w:val="Seitenzahl"/>
        <w:rFonts w:ascii="Arial" w:hAnsi="Arial" w:cs="Arial"/>
        <w:noProof/>
        <w:sz w:val="18"/>
        <w:szCs w:val="18"/>
      </w:rPr>
      <w:t>2</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61" w:rsidRDefault="00191D61">
      <w:r>
        <w:separator/>
      </w:r>
    </w:p>
  </w:footnote>
  <w:footnote w:type="continuationSeparator" w:id="0">
    <w:p w:rsidR="00191D61" w:rsidRDefault="00191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B10602">
    <w:pPr>
      <w:pStyle w:val="Kopfzeile"/>
    </w:pPr>
    <w:r w:rsidRPr="00B10602">
      <w:rPr>
        <w:noProof/>
        <w:lang w:val="de-AT" w:eastAsia="de-AT"/>
      </w:rPr>
      <w:drawing>
        <wp:anchor distT="0" distB="0" distL="114300" distR="114300" simplePos="0" relativeHeight="251659264" behindDoc="0" locked="0" layoutInCell="1" allowOverlap="1">
          <wp:simplePos x="0" y="0"/>
          <wp:positionH relativeFrom="column">
            <wp:posOffset>-570865</wp:posOffset>
          </wp:positionH>
          <wp:positionV relativeFrom="paragraph">
            <wp:posOffset>-1567815</wp:posOffset>
          </wp:positionV>
          <wp:extent cx="3933825" cy="1595755"/>
          <wp:effectExtent l="19050" t="0" r="9525" b="0"/>
          <wp:wrapTight wrapText="bothSides">
            <wp:wrapPolygon edited="0">
              <wp:start x="-105" y="0"/>
              <wp:lineTo x="-105" y="21402"/>
              <wp:lineTo x="21652" y="21402"/>
              <wp:lineTo x="21652" y="0"/>
              <wp:lineTo x="-105" y="0"/>
            </wp:wrapPolygon>
          </wp:wrapTight>
          <wp:docPr id="8"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3825"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72706"/>
  </w:hdrShapeDefaults>
  <w:footnotePr>
    <w:footnote w:id="-1"/>
    <w:footnote w:id="0"/>
  </w:footnotePr>
  <w:endnotePr>
    <w:endnote w:id="-1"/>
    <w:endnote w:id="0"/>
  </w:endnotePr>
  <w:compat/>
  <w:rsids>
    <w:rsidRoot w:val="00C65899"/>
    <w:rsid w:val="00000F14"/>
    <w:rsid w:val="000058CF"/>
    <w:rsid w:val="00005AAF"/>
    <w:rsid w:val="00006580"/>
    <w:rsid w:val="00007AEA"/>
    <w:rsid w:val="000127BA"/>
    <w:rsid w:val="00012A8C"/>
    <w:rsid w:val="0001309F"/>
    <w:rsid w:val="00013A7A"/>
    <w:rsid w:val="00014FEC"/>
    <w:rsid w:val="00015D2A"/>
    <w:rsid w:val="00020008"/>
    <w:rsid w:val="00020009"/>
    <w:rsid w:val="00020CE2"/>
    <w:rsid w:val="00025735"/>
    <w:rsid w:val="000263D8"/>
    <w:rsid w:val="000269F1"/>
    <w:rsid w:val="00031AC1"/>
    <w:rsid w:val="000328DB"/>
    <w:rsid w:val="00033157"/>
    <w:rsid w:val="00033643"/>
    <w:rsid w:val="00034A18"/>
    <w:rsid w:val="00037364"/>
    <w:rsid w:val="0004004A"/>
    <w:rsid w:val="0004137C"/>
    <w:rsid w:val="00042B2D"/>
    <w:rsid w:val="00044950"/>
    <w:rsid w:val="000478D8"/>
    <w:rsid w:val="00047D12"/>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6F5E"/>
    <w:rsid w:val="000677A6"/>
    <w:rsid w:val="000704A7"/>
    <w:rsid w:val="000725EC"/>
    <w:rsid w:val="00072773"/>
    <w:rsid w:val="000728A3"/>
    <w:rsid w:val="00072995"/>
    <w:rsid w:val="00072AFD"/>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6166"/>
    <w:rsid w:val="000A63B5"/>
    <w:rsid w:val="000A760C"/>
    <w:rsid w:val="000A7D74"/>
    <w:rsid w:val="000B0461"/>
    <w:rsid w:val="000B267B"/>
    <w:rsid w:val="000B5808"/>
    <w:rsid w:val="000B5835"/>
    <w:rsid w:val="000C0951"/>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191A"/>
    <w:rsid w:val="00102CF8"/>
    <w:rsid w:val="00103DD2"/>
    <w:rsid w:val="00104AAC"/>
    <w:rsid w:val="00107E98"/>
    <w:rsid w:val="0011115E"/>
    <w:rsid w:val="00112019"/>
    <w:rsid w:val="0011591C"/>
    <w:rsid w:val="001161AE"/>
    <w:rsid w:val="00116230"/>
    <w:rsid w:val="001171A9"/>
    <w:rsid w:val="00120819"/>
    <w:rsid w:val="00120B3E"/>
    <w:rsid w:val="0012102A"/>
    <w:rsid w:val="00121996"/>
    <w:rsid w:val="00121B20"/>
    <w:rsid w:val="00121C2C"/>
    <w:rsid w:val="0012613A"/>
    <w:rsid w:val="0013234B"/>
    <w:rsid w:val="001334FB"/>
    <w:rsid w:val="00134B58"/>
    <w:rsid w:val="00137C2F"/>
    <w:rsid w:val="001421A6"/>
    <w:rsid w:val="00142719"/>
    <w:rsid w:val="00142C4D"/>
    <w:rsid w:val="001431F0"/>
    <w:rsid w:val="00143D8D"/>
    <w:rsid w:val="00147278"/>
    <w:rsid w:val="00151F22"/>
    <w:rsid w:val="001536BF"/>
    <w:rsid w:val="00153B9E"/>
    <w:rsid w:val="00155F9F"/>
    <w:rsid w:val="00161353"/>
    <w:rsid w:val="00162846"/>
    <w:rsid w:val="001638D8"/>
    <w:rsid w:val="00170D83"/>
    <w:rsid w:val="001759FA"/>
    <w:rsid w:val="00176230"/>
    <w:rsid w:val="0017689A"/>
    <w:rsid w:val="00177D60"/>
    <w:rsid w:val="001805E4"/>
    <w:rsid w:val="001824AE"/>
    <w:rsid w:val="00182AA5"/>
    <w:rsid w:val="00183B3E"/>
    <w:rsid w:val="00183D14"/>
    <w:rsid w:val="001840D9"/>
    <w:rsid w:val="001851AC"/>
    <w:rsid w:val="00185442"/>
    <w:rsid w:val="00187AB7"/>
    <w:rsid w:val="0019068D"/>
    <w:rsid w:val="00191D61"/>
    <w:rsid w:val="00192676"/>
    <w:rsid w:val="00193697"/>
    <w:rsid w:val="00195A5F"/>
    <w:rsid w:val="00195F42"/>
    <w:rsid w:val="00197145"/>
    <w:rsid w:val="001A0EC4"/>
    <w:rsid w:val="001A0F31"/>
    <w:rsid w:val="001A1C9B"/>
    <w:rsid w:val="001A2898"/>
    <w:rsid w:val="001A3D16"/>
    <w:rsid w:val="001A4839"/>
    <w:rsid w:val="001A641D"/>
    <w:rsid w:val="001A7B1F"/>
    <w:rsid w:val="001A7B75"/>
    <w:rsid w:val="001B1452"/>
    <w:rsid w:val="001B22E2"/>
    <w:rsid w:val="001B6C42"/>
    <w:rsid w:val="001C1192"/>
    <w:rsid w:val="001C160D"/>
    <w:rsid w:val="001C7D49"/>
    <w:rsid w:val="001D0FAF"/>
    <w:rsid w:val="001D40AC"/>
    <w:rsid w:val="001D4C04"/>
    <w:rsid w:val="001D4D31"/>
    <w:rsid w:val="001D5998"/>
    <w:rsid w:val="001D72FF"/>
    <w:rsid w:val="001D7A65"/>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5CBB"/>
    <w:rsid w:val="00207893"/>
    <w:rsid w:val="00211612"/>
    <w:rsid w:val="00211BCC"/>
    <w:rsid w:val="0021443C"/>
    <w:rsid w:val="002149C6"/>
    <w:rsid w:val="00220CAB"/>
    <w:rsid w:val="00221EBF"/>
    <w:rsid w:val="00222EB8"/>
    <w:rsid w:val="00225952"/>
    <w:rsid w:val="00230CE1"/>
    <w:rsid w:val="0023110E"/>
    <w:rsid w:val="00235C33"/>
    <w:rsid w:val="00237BED"/>
    <w:rsid w:val="00242B8B"/>
    <w:rsid w:val="0024342C"/>
    <w:rsid w:val="002504AF"/>
    <w:rsid w:val="002506A2"/>
    <w:rsid w:val="00252A7E"/>
    <w:rsid w:val="00253561"/>
    <w:rsid w:val="00257B65"/>
    <w:rsid w:val="00261AF0"/>
    <w:rsid w:val="00263985"/>
    <w:rsid w:val="00263ACE"/>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4AD"/>
    <w:rsid w:val="00284B42"/>
    <w:rsid w:val="00290C5B"/>
    <w:rsid w:val="002952C4"/>
    <w:rsid w:val="00296ABA"/>
    <w:rsid w:val="00296CEA"/>
    <w:rsid w:val="0029756D"/>
    <w:rsid w:val="00297E83"/>
    <w:rsid w:val="002A0BF3"/>
    <w:rsid w:val="002A221C"/>
    <w:rsid w:val="002A2995"/>
    <w:rsid w:val="002A39B2"/>
    <w:rsid w:val="002A4201"/>
    <w:rsid w:val="002A510C"/>
    <w:rsid w:val="002A5880"/>
    <w:rsid w:val="002A62D3"/>
    <w:rsid w:val="002A6669"/>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8D6"/>
    <w:rsid w:val="002E78FA"/>
    <w:rsid w:val="002F0177"/>
    <w:rsid w:val="002F0469"/>
    <w:rsid w:val="002F062C"/>
    <w:rsid w:val="002F1817"/>
    <w:rsid w:val="002F228A"/>
    <w:rsid w:val="002F3518"/>
    <w:rsid w:val="002F4579"/>
    <w:rsid w:val="002F478E"/>
    <w:rsid w:val="002F79D4"/>
    <w:rsid w:val="00302FC9"/>
    <w:rsid w:val="00303936"/>
    <w:rsid w:val="00304A81"/>
    <w:rsid w:val="003103FC"/>
    <w:rsid w:val="0031063D"/>
    <w:rsid w:val="00311113"/>
    <w:rsid w:val="003117C3"/>
    <w:rsid w:val="00313172"/>
    <w:rsid w:val="00314BA2"/>
    <w:rsid w:val="00316999"/>
    <w:rsid w:val="00317E52"/>
    <w:rsid w:val="00320401"/>
    <w:rsid w:val="00320598"/>
    <w:rsid w:val="003220D8"/>
    <w:rsid w:val="003228DC"/>
    <w:rsid w:val="003249F9"/>
    <w:rsid w:val="00325BAB"/>
    <w:rsid w:val="0033453D"/>
    <w:rsid w:val="00335208"/>
    <w:rsid w:val="0033536F"/>
    <w:rsid w:val="0033747C"/>
    <w:rsid w:val="0034110A"/>
    <w:rsid w:val="00341DCB"/>
    <w:rsid w:val="003424AE"/>
    <w:rsid w:val="00345C1E"/>
    <w:rsid w:val="00345C99"/>
    <w:rsid w:val="00351D12"/>
    <w:rsid w:val="0035448E"/>
    <w:rsid w:val="003560C3"/>
    <w:rsid w:val="00356112"/>
    <w:rsid w:val="00360A3C"/>
    <w:rsid w:val="00361F92"/>
    <w:rsid w:val="00362E61"/>
    <w:rsid w:val="003637CF"/>
    <w:rsid w:val="00364B49"/>
    <w:rsid w:val="003656C6"/>
    <w:rsid w:val="00367BA5"/>
    <w:rsid w:val="0037376D"/>
    <w:rsid w:val="00375385"/>
    <w:rsid w:val="00380886"/>
    <w:rsid w:val="00381102"/>
    <w:rsid w:val="00382498"/>
    <w:rsid w:val="003825C2"/>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FCE"/>
    <w:rsid w:val="003D2346"/>
    <w:rsid w:val="003D2623"/>
    <w:rsid w:val="003D2701"/>
    <w:rsid w:val="003D6559"/>
    <w:rsid w:val="003E05BA"/>
    <w:rsid w:val="003E2A11"/>
    <w:rsid w:val="003E2F95"/>
    <w:rsid w:val="003E3A8B"/>
    <w:rsid w:val="003E3BD7"/>
    <w:rsid w:val="003E5023"/>
    <w:rsid w:val="003E671F"/>
    <w:rsid w:val="003E6AE5"/>
    <w:rsid w:val="003E6E6E"/>
    <w:rsid w:val="003E78E8"/>
    <w:rsid w:val="003F01A3"/>
    <w:rsid w:val="003F0435"/>
    <w:rsid w:val="003F1190"/>
    <w:rsid w:val="003F11F3"/>
    <w:rsid w:val="003F3FD8"/>
    <w:rsid w:val="003F5E6A"/>
    <w:rsid w:val="003F5FB8"/>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4D9B"/>
    <w:rsid w:val="004169CD"/>
    <w:rsid w:val="004177EE"/>
    <w:rsid w:val="00421AAB"/>
    <w:rsid w:val="00421BAE"/>
    <w:rsid w:val="004257D8"/>
    <w:rsid w:val="004266F4"/>
    <w:rsid w:val="0042685F"/>
    <w:rsid w:val="004279F8"/>
    <w:rsid w:val="0043299D"/>
    <w:rsid w:val="004359D5"/>
    <w:rsid w:val="0043710F"/>
    <w:rsid w:val="004406F5"/>
    <w:rsid w:val="00445493"/>
    <w:rsid w:val="004463DE"/>
    <w:rsid w:val="0044667E"/>
    <w:rsid w:val="004502EF"/>
    <w:rsid w:val="00450BC4"/>
    <w:rsid w:val="004518B9"/>
    <w:rsid w:val="004560B1"/>
    <w:rsid w:val="004563D2"/>
    <w:rsid w:val="00460EC4"/>
    <w:rsid w:val="00461C60"/>
    <w:rsid w:val="004630CE"/>
    <w:rsid w:val="00463B7D"/>
    <w:rsid w:val="00463FAE"/>
    <w:rsid w:val="00464424"/>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200"/>
    <w:rsid w:val="00497322"/>
    <w:rsid w:val="004A0027"/>
    <w:rsid w:val="004A0557"/>
    <w:rsid w:val="004A0DC0"/>
    <w:rsid w:val="004A165D"/>
    <w:rsid w:val="004A3A84"/>
    <w:rsid w:val="004A4582"/>
    <w:rsid w:val="004A4AAF"/>
    <w:rsid w:val="004A583C"/>
    <w:rsid w:val="004A7A06"/>
    <w:rsid w:val="004A7CC4"/>
    <w:rsid w:val="004B341E"/>
    <w:rsid w:val="004B4B41"/>
    <w:rsid w:val="004B7882"/>
    <w:rsid w:val="004B78B6"/>
    <w:rsid w:val="004C399B"/>
    <w:rsid w:val="004C3BF2"/>
    <w:rsid w:val="004C459A"/>
    <w:rsid w:val="004C4DC4"/>
    <w:rsid w:val="004C6776"/>
    <w:rsid w:val="004D0093"/>
    <w:rsid w:val="004D1258"/>
    <w:rsid w:val="004D1AA2"/>
    <w:rsid w:val="004D2526"/>
    <w:rsid w:val="004D279A"/>
    <w:rsid w:val="004E17D1"/>
    <w:rsid w:val="004E1ABA"/>
    <w:rsid w:val="004E510A"/>
    <w:rsid w:val="004E7347"/>
    <w:rsid w:val="004F064A"/>
    <w:rsid w:val="004F2673"/>
    <w:rsid w:val="004F3856"/>
    <w:rsid w:val="004F5F71"/>
    <w:rsid w:val="004F660A"/>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49AC"/>
    <w:rsid w:val="00515917"/>
    <w:rsid w:val="00522458"/>
    <w:rsid w:val="00522B17"/>
    <w:rsid w:val="00524C68"/>
    <w:rsid w:val="00525B1D"/>
    <w:rsid w:val="00527B4A"/>
    <w:rsid w:val="005308FD"/>
    <w:rsid w:val="00532D73"/>
    <w:rsid w:val="005339D6"/>
    <w:rsid w:val="00533DFC"/>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343"/>
    <w:rsid w:val="005D0491"/>
    <w:rsid w:val="005D0D7C"/>
    <w:rsid w:val="005D1F30"/>
    <w:rsid w:val="005D2463"/>
    <w:rsid w:val="005D4072"/>
    <w:rsid w:val="005D743F"/>
    <w:rsid w:val="005E086E"/>
    <w:rsid w:val="005E0B1C"/>
    <w:rsid w:val="005E3C12"/>
    <w:rsid w:val="005E4ED5"/>
    <w:rsid w:val="005E5125"/>
    <w:rsid w:val="005E537A"/>
    <w:rsid w:val="005E55DC"/>
    <w:rsid w:val="005E577B"/>
    <w:rsid w:val="005E741D"/>
    <w:rsid w:val="005E7CEA"/>
    <w:rsid w:val="005F1058"/>
    <w:rsid w:val="005F1E73"/>
    <w:rsid w:val="005F4472"/>
    <w:rsid w:val="005F4E85"/>
    <w:rsid w:val="005F5B5B"/>
    <w:rsid w:val="005F75DE"/>
    <w:rsid w:val="005F7BEA"/>
    <w:rsid w:val="00600BF4"/>
    <w:rsid w:val="00602748"/>
    <w:rsid w:val="006036A3"/>
    <w:rsid w:val="00604254"/>
    <w:rsid w:val="00606902"/>
    <w:rsid w:val="006071CA"/>
    <w:rsid w:val="0060791E"/>
    <w:rsid w:val="0061053E"/>
    <w:rsid w:val="0061147C"/>
    <w:rsid w:val="0061514C"/>
    <w:rsid w:val="00615853"/>
    <w:rsid w:val="006167B2"/>
    <w:rsid w:val="00623114"/>
    <w:rsid w:val="006238D8"/>
    <w:rsid w:val="00625E4E"/>
    <w:rsid w:val="0062682E"/>
    <w:rsid w:val="00626D1F"/>
    <w:rsid w:val="00633161"/>
    <w:rsid w:val="00637DCC"/>
    <w:rsid w:val="006400C1"/>
    <w:rsid w:val="006405FF"/>
    <w:rsid w:val="00643512"/>
    <w:rsid w:val="00643CFC"/>
    <w:rsid w:val="00645E21"/>
    <w:rsid w:val="00647780"/>
    <w:rsid w:val="00647ECB"/>
    <w:rsid w:val="00655588"/>
    <w:rsid w:val="00655D90"/>
    <w:rsid w:val="006643C4"/>
    <w:rsid w:val="006659DC"/>
    <w:rsid w:val="00666483"/>
    <w:rsid w:val="0066684E"/>
    <w:rsid w:val="00666E07"/>
    <w:rsid w:val="00667CFF"/>
    <w:rsid w:val="00667FC0"/>
    <w:rsid w:val="006700BA"/>
    <w:rsid w:val="00670CE9"/>
    <w:rsid w:val="00670ED2"/>
    <w:rsid w:val="00671561"/>
    <w:rsid w:val="006731F8"/>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074D"/>
    <w:rsid w:val="006C18F6"/>
    <w:rsid w:val="006C31E5"/>
    <w:rsid w:val="006C3D8D"/>
    <w:rsid w:val="006C4183"/>
    <w:rsid w:val="006C5DC3"/>
    <w:rsid w:val="006D0DA7"/>
    <w:rsid w:val="006D30A6"/>
    <w:rsid w:val="006D473F"/>
    <w:rsid w:val="006D671A"/>
    <w:rsid w:val="006D6C1A"/>
    <w:rsid w:val="006D786E"/>
    <w:rsid w:val="006E0CF6"/>
    <w:rsid w:val="006E0E1F"/>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DEE"/>
    <w:rsid w:val="00740FA2"/>
    <w:rsid w:val="00741E38"/>
    <w:rsid w:val="007422FF"/>
    <w:rsid w:val="0074232B"/>
    <w:rsid w:val="0074234F"/>
    <w:rsid w:val="0074448F"/>
    <w:rsid w:val="007457F1"/>
    <w:rsid w:val="00746F41"/>
    <w:rsid w:val="007514E9"/>
    <w:rsid w:val="00752BFF"/>
    <w:rsid w:val="00752D70"/>
    <w:rsid w:val="007551AB"/>
    <w:rsid w:val="00755AE9"/>
    <w:rsid w:val="00761220"/>
    <w:rsid w:val="00761D42"/>
    <w:rsid w:val="0076492F"/>
    <w:rsid w:val="007655BF"/>
    <w:rsid w:val="007660CD"/>
    <w:rsid w:val="0076674B"/>
    <w:rsid w:val="007705A2"/>
    <w:rsid w:val="00774EA9"/>
    <w:rsid w:val="00775BB8"/>
    <w:rsid w:val="00776BD7"/>
    <w:rsid w:val="00776E4A"/>
    <w:rsid w:val="007779B4"/>
    <w:rsid w:val="007811A2"/>
    <w:rsid w:val="00781A96"/>
    <w:rsid w:val="00782382"/>
    <w:rsid w:val="00783019"/>
    <w:rsid w:val="00783279"/>
    <w:rsid w:val="00784C2F"/>
    <w:rsid w:val="00784E01"/>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1F45"/>
    <w:rsid w:val="007B2C93"/>
    <w:rsid w:val="007B4D64"/>
    <w:rsid w:val="007B508F"/>
    <w:rsid w:val="007B704E"/>
    <w:rsid w:val="007B7A93"/>
    <w:rsid w:val="007C0F01"/>
    <w:rsid w:val="007C2A52"/>
    <w:rsid w:val="007C2C87"/>
    <w:rsid w:val="007C6E15"/>
    <w:rsid w:val="007D0773"/>
    <w:rsid w:val="007D118B"/>
    <w:rsid w:val="007D14C1"/>
    <w:rsid w:val="007D465B"/>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A63"/>
    <w:rsid w:val="00886DB3"/>
    <w:rsid w:val="008904C7"/>
    <w:rsid w:val="008917AD"/>
    <w:rsid w:val="0089211D"/>
    <w:rsid w:val="008947C3"/>
    <w:rsid w:val="00895745"/>
    <w:rsid w:val="008976C1"/>
    <w:rsid w:val="008A0066"/>
    <w:rsid w:val="008A2EDC"/>
    <w:rsid w:val="008A2F2E"/>
    <w:rsid w:val="008A31A1"/>
    <w:rsid w:val="008A6DA5"/>
    <w:rsid w:val="008A72D3"/>
    <w:rsid w:val="008B1130"/>
    <w:rsid w:val="008B2341"/>
    <w:rsid w:val="008B7CED"/>
    <w:rsid w:val="008B7E1A"/>
    <w:rsid w:val="008C085D"/>
    <w:rsid w:val="008C08B6"/>
    <w:rsid w:val="008C3682"/>
    <w:rsid w:val="008C372E"/>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8F671C"/>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64C7"/>
    <w:rsid w:val="009A73F2"/>
    <w:rsid w:val="009B116D"/>
    <w:rsid w:val="009B1C0E"/>
    <w:rsid w:val="009B39E1"/>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835"/>
    <w:rsid w:val="009F1B3D"/>
    <w:rsid w:val="009F4523"/>
    <w:rsid w:val="009F48C7"/>
    <w:rsid w:val="009F5C19"/>
    <w:rsid w:val="00A00B24"/>
    <w:rsid w:val="00A03D6F"/>
    <w:rsid w:val="00A06A16"/>
    <w:rsid w:val="00A10E73"/>
    <w:rsid w:val="00A141A1"/>
    <w:rsid w:val="00A1473A"/>
    <w:rsid w:val="00A149B3"/>
    <w:rsid w:val="00A211C5"/>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3D3D"/>
    <w:rsid w:val="00A44353"/>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C7B"/>
    <w:rsid w:val="00A74DE5"/>
    <w:rsid w:val="00A75116"/>
    <w:rsid w:val="00A7572C"/>
    <w:rsid w:val="00A76460"/>
    <w:rsid w:val="00A772DA"/>
    <w:rsid w:val="00A8106F"/>
    <w:rsid w:val="00A8381D"/>
    <w:rsid w:val="00A83FCB"/>
    <w:rsid w:val="00A8480B"/>
    <w:rsid w:val="00A8766B"/>
    <w:rsid w:val="00A87E4A"/>
    <w:rsid w:val="00A90635"/>
    <w:rsid w:val="00A90878"/>
    <w:rsid w:val="00A908D7"/>
    <w:rsid w:val="00A90F37"/>
    <w:rsid w:val="00A91B0C"/>
    <w:rsid w:val="00A944D1"/>
    <w:rsid w:val="00A94A6F"/>
    <w:rsid w:val="00A95A97"/>
    <w:rsid w:val="00A961DB"/>
    <w:rsid w:val="00AA02E4"/>
    <w:rsid w:val="00AA131E"/>
    <w:rsid w:val="00AA681E"/>
    <w:rsid w:val="00AA6A1F"/>
    <w:rsid w:val="00AA6CA3"/>
    <w:rsid w:val="00AB0860"/>
    <w:rsid w:val="00AB1010"/>
    <w:rsid w:val="00AB13A2"/>
    <w:rsid w:val="00AB1802"/>
    <w:rsid w:val="00AB1FD8"/>
    <w:rsid w:val="00AB2F83"/>
    <w:rsid w:val="00AB315E"/>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199"/>
    <w:rsid w:val="00AD584C"/>
    <w:rsid w:val="00AD65A2"/>
    <w:rsid w:val="00AD7BDD"/>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602"/>
    <w:rsid w:val="00B109A8"/>
    <w:rsid w:val="00B11139"/>
    <w:rsid w:val="00B111A3"/>
    <w:rsid w:val="00B11E0A"/>
    <w:rsid w:val="00B11EEB"/>
    <w:rsid w:val="00B1388A"/>
    <w:rsid w:val="00B13BB2"/>
    <w:rsid w:val="00B13DB8"/>
    <w:rsid w:val="00B153FC"/>
    <w:rsid w:val="00B1699E"/>
    <w:rsid w:val="00B17504"/>
    <w:rsid w:val="00B20C18"/>
    <w:rsid w:val="00B22A49"/>
    <w:rsid w:val="00B22FD4"/>
    <w:rsid w:val="00B2642E"/>
    <w:rsid w:val="00B302CA"/>
    <w:rsid w:val="00B30620"/>
    <w:rsid w:val="00B309FA"/>
    <w:rsid w:val="00B3377A"/>
    <w:rsid w:val="00B36812"/>
    <w:rsid w:val="00B36B62"/>
    <w:rsid w:val="00B41E7E"/>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471B"/>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2754"/>
    <w:rsid w:val="00BC50AB"/>
    <w:rsid w:val="00BC694F"/>
    <w:rsid w:val="00BD0537"/>
    <w:rsid w:val="00BD08F2"/>
    <w:rsid w:val="00BD1088"/>
    <w:rsid w:val="00BD2390"/>
    <w:rsid w:val="00BD2C96"/>
    <w:rsid w:val="00BD2CB4"/>
    <w:rsid w:val="00BD4228"/>
    <w:rsid w:val="00BD44A4"/>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17E4F"/>
    <w:rsid w:val="00C20125"/>
    <w:rsid w:val="00C22231"/>
    <w:rsid w:val="00C233A8"/>
    <w:rsid w:val="00C32ECA"/>
    <w:rsid w:val="00C3316B"/>
    <w:rsid w:val="00C344CA"/>
    <w:rsid w:val="00C34BA1"/>
    <w:rsid w:val="00C36943"/>
    <w:rsid w:val="00C4375D"/>
    <w:rsid w:val="00C458F7"/>
    <w:rsid w:val="00C46F31"/>
    <w:rsid w:val="00C50224"/>
    <w:rsid w:val="00C5206F"/>
    <w:rsid w:val="00C52AA6"/>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0FA"/>
    <w:rsid w:val="00C73C35"/>
    <w:rsid w:val="00C740E5"/>
    <w:rsid w:val="00C76C45"/>
    <w:rsid w:val="00C76D54"/>
    <w:rsid w:val="00C8268D"/>
    <w:rsid w:val="00C83179"/>
    <w:rsid w:val="00C83CDB"/>
    <w:rsid w:val="00C847C8"/>
    <w:rsid w:val="00C86BE7"/>
    <w:rsid w:val="00C86D9E"/>
    <w:rsid w:val="00C87E76"/>
    <w:rsid w:val="00C91210"/>
    <w:rsid w:val="00C928CE"/>
    <w:rsid w:val="00C9535A"/>
    <w:rsid w:val="00C95913"/>
    <w:rsid w:val="00CA18CD"/>
    <w:rsid w:val="00CA3A3D"/>
    <w:rsid w:val="00CA5EB5"/>
    <w:rsid w:val="00CA7238"/>
    <w:rsid w:val="00CA7BDD"/>
    <w:rsid w:val="00CB15DB"/>
    <w:rsid w:val="00CB18B6"/>
    <w:rsid w:val="00CB1F69"/>
    <w:rsid w:val="00CB2A2D"/>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5DE0"/>
    <w:rsid w:val="00CD5EAE"/>
    <w:rsid w:val="00CD6A47"/>
    <w:rsid w:val="00CD71D4"/>
    <w:rsid w:val="00CD770D"/>
    <w:rsid w:val="00CE1DA0"/>
    <w:rsid w:val="00CE1DA8"/>
    <w:rsid w:val="00CE2CBB"/>
    <w:rsid w:val="00CE3234"/>
    <w:rsid w:val="00CE32BC"/>
    <w:rsid w:val="00CE7C68"/>
    <w:rsid w:val="00D01ED4"/>
    <w:rsid w:val="00D02356"/>
    <w:rsid w:val="00D02747"/>
    <w:rsid w:val="00D032B1"/>
    <w:rsid w:val="00D041C2"/>
    <w:rsid w:val="00D04B8A"/>
    <w:rsid w:val="00D04DDB"/>
    <w:rsid w:val="00D07F49"/>
    <w:rsid w:val="00D10DC1"/>
    <w:rsid w:val="00D13B7E"/>
    <w:rsid w:val="00D14AAB"/>
    <w:rsid w:val="00D15C95"/>
    <w:rsid w:val="00D1635D"/>
    <w:rsid w:val="00D1687C"/>
    <w:rsid w:val="00D20068"/>
    <w:rsid w:val="00D22EBE"/>
    <w:rsid w:val="00D233BC"/>
    <w:rsid w:val="00D25EB2"/>
    <w:rsid w:val="00D30D44"/>
    <w:rsid w:val="00D31788"/>
    <w:rsid w:val="00D32439"/>
    <w:rsid w:val="00D32972"/>
    <w:rsid w:val="00D32A36"/>
    <w:rsid w:val="00D33C20"/>
    <w:rsid w:val="00D35885"/>
    <w:rsid w:val="00D4073D"/>
    <w:rsid w:val="00D414BF"/>
    <w:rsid w:val="00D4518E"/>
    <w:rsid w:val="00D4720B"/>
    <w:rsid w:val="00D50A92"/>
    <w:rsid w:val="00D551B5"/>
    <w:rsid w:val="00D55466"/>
    <w:rsid w:val="00D56CB4"/>
    <w:rsid w:val="00D56F8B"/>
    <w:rsid w:val="00D57752"/>
    <w:rsid w:val="00D603A9"/>
    <w:rsid w:val="00D61A22"/>
    <w:rsid w:val="00D63742"/>
    <w:rsid w:val="00D63AA1"/>
    <w:rsid w:val="00D6468C"/>
    <w:rsid w:val="00D651F8"/>
    <w:rsid w:val="00D65917"/>
    <w:rsid w:val="00D66BE8"/>
    <w:rsid w:val="00D67163"/>
    <w:rsid w:val="00D6716D"/>
    <w:rsid w:val="00D7262F"/>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1B07"/>
    <w:rsid w:val="00DA26D2"/>
    <w:rsid w:val="00DA3E30"/>
    <w:rsid w:val="00DA43F9"/>
    <w:rsid w:val="00DA501E"/>
    <w:rsid w:val="00DA763C"/>
    <w:rsid w:val="00DB7B22"/>
    <w:rsid w:val="00DC21CC"/>
    <w:rsid w:val="00DC39C0"/>
    <w:rsid w:val="00DC3B5B"/>
    <w:rsid w:val="00DC446F"/>
    <w:rsid w:val="00DC56B4"/>
    <w:rsid w:val="00DC58E2"/>
    <w:rsid w:val="00DC65A1"/>
    <w:rsid w:val="00DD18A5"/>
    <w:rsid w:val="00DD2600"/>
    <w:rsid w:val="00DD2CAD"/>
    <w:rsid w:val="00DD2F3E"/>
    <w:rsid w:val="00DD42E4"/>
    <w:rsid w:val="00DD59EC"/>
    <w:rsid w:val="00DD5BA4"/>
    <w:rsid w:val="00DE0DB0"/>
    <w:rsid w:val="00DE2015"/>
    <w:rsid w:val="00DE2D0C"/>
    <w:rsid w:val="00DE521E"/>
    <w:rsid w:val="00DE6967"/>
    <w:rsid w:val="00DE6F98"/>
    <w:rsid w:val="00DE7D4D"/>
    <w:rsid w:val="00DF0955"/>
    <w:rsid w:val="00DF0CBA"/>
    <w:rsid w:val="00DF2756"/>
    <w:rsid w:val="00DF27CF"/>
    <w:rsid w:val="00DF3F91"/>
    <w:rsid w:val="00DF41D0"/>
    <w:rsid w:val="00DF467E"/>
    <w:rsid w:val="00E004C4"/>
    <w:rsid w:val="00E0143B"/>
    <w:rsid w:val="00E019E8"/>
    <w:rsid w:val="00E033D8"/>
    <w:rsid w:val="00E05417"/>
    <w:rsid w:val="00E061AA"/>
    <w:rsid w:val="00E06862"/>
    <w:rsid w:val="00E07851"/>
    <w:rsid w:val="00E101AE"/>
    <w:rsid w:val="00E10E73"/>
    <w:rsid w:val="00E1189C"/>
    <w:rsid w:val="00E11DBF"/>
    <w:rsid w:val="00E11E71"/>
    <w:rsid w:val="00E17DC6"/>
    <w:rsid w:val="00E21471"/>
    <w:rsid w:val="00E220EA"/>
    <w:rsid w:val="00E244E9"/>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6023"/>
    <w:rsid w:val="00E46C71"/>
    <w:rsid w:val="00E50C79"/>
    <w:rsid w:val="00E516E1"/>
    <w:rsid w:val="00E54F0D"/>
    <w:rsid w:val="00E563A4"/>
    <w:rsid w:val="00E56693"/>
    <w:rsid w:val="00E57317"/>
    <w:rsid w:val="00E60DFC"/>
    <w:rsid w:val="00E62CA2"/>
    <w:rsid w:val="00E64188"/>
    <w:rsid w:val="00E643BC"/>
    <w:rsid w:val="00E702C7"/>
    <w:rsid w:val="00E7041D"/>
    <w:rsid w:val="00E80D9C"/>
    <w:rsid w:val="00E8220D"/>
    <w:rsid w:val="00E822DE"/>
    <w:rsid w:val="00E83D26"/>
    <w:rsid w:val="00E84529"/>
    <w:rsid w:val="00E84930"/>
    <w:rsid w:val="00E84F42"/>
    <w:rsid w:val="00E874EC"/>
    <w:rsid w:val="00E933AA"/>
    <w:rsid w:val="00E93541"/>
    <w:rsid w:val="00E93F94"/>
    <w:rsid w:val="00E946D3"/>
    <w:rsid w:val="00E94963"/>
    <w:rsid w:val="00E94CA1"/>
    <w:rsid w:val="00E95326"/>
    <w:rsid w:val="00E966F0"/>
    <w:rsid w:val="00E969C2"/>
    <w:rsid w:val="00E9701A"/>
    <w:rsid w:val="00E975EB"/>
    <w:rsid w:val="00EA0110"/>
    <w:rsid w:val="00EA0E35"/>
    <w:rsid w:val="00EA385D"/>
    <w:rsid w:val="00EA4D4C"/>
    <w:rsid w:val="00EA68B5"/>
    <w:rsid w:val="00EA6CB3"/>
    <w:rsid w:val="00EA6D8A"/>
    <w:rsid w:val="00EB083C"/>
    <w:rsid w:val="00EB266D"/>
    <w:rsid w:val="00EB282D"/>
    <w:rsid w:val="00EB2D74"/>
    <w:rsid w:val="00EB40B7"/>
    <w:rsid w:val="00EB579C"/>
    <w:rsid w:val="00EB65D3"/>
    <w:rsid w:val="00EB7719"/>
    <w:rsid w:val="00EC14CF"/>
    <w:rsid w:val="00EC4A5A"/>
    <w:rsid w:val="00EC51C6"/>
    <w:rsid w:val="00EC5D67"/>
    <w:rsid w:val="00EC7F7E"/>
    <w:rsid w:val="00ED026A"/>
    <w:rsid w:val="00ED02E7"/>
    <w:rsid w:val="00ED26E7"/>
    <w:rsid w:val="00ED32F7"/>
    <w:rsid w:val="00ED4CDD"/>
    <w:rsid w:val="00ED54EB"/>
    <w:rsid w:val="00ED7FE3"/>
    <w:rsid w:val="00EE4757"/>
    <w:rsid w:val="00EE4B32"/>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2DB1"/>
    <w:rsid w:val="00F1492A"/>
    <w:rsid w:val="00F14E8D"/>
    <w:rsid w:val="00F15969"/>
    <w:rsid w:val="00F167CD"/>
    <w:rsid w:val="00F16C99"/>
    <w:rsid w:val="00F17039"/>
    <w:rsid w:val="00F17923"/>
    <w:rsid w:val="00F17AFE"/>
    <w:rsid w:val="00F24621"/>
    <w:rsid w:val="00F255AA"/>
    <w:rsid w:val="00F25892"/>
    <w:rsid w:val="00F2679D"/>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07E0"/>
    <w:rsid w:val="00FA25C3"/>
    <w:rsid w:val="00FA2D26"/>
    <w:rsid w:val="00FA2D85"/>
    <w:rsid w:val="00FA5612"/>
    <w:rsid w:val="00FB0FA8"/>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B49"/>
    <w:rPr>
      <w:sz w:val="24"/>
      <w:szCs w:val="24"/>
      <w:lang w:val="de-DE" w:eastAsia="de-DE"/>
    </w:rPr>
  </w:style>
  <w:style w:type="paragraph" w:styleId="Heading1">
    <w:name w:val="heading 1"/>
    <w:basedOn w:val="Normal"/>
    <w:next w:val="Normal"/>
    <w:link w:val="Heading1Char"/>
    <w:qFormat/>
    <w:rsid w:val="00E41D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D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DF7"/>
    <w:pPr>
      <w:keepNext/>
      <w:spacing w:before="240" w:after="60"/>
      <w:outlineLvl w:val="2"/>
    </w:pPr>
    <w:rPr>
      <w:rFonts w:ascii="Arial" w:hAnsi="Arial" w:cs="Arial"/>
      <w:b/>
      <w:bCs/>
      <w:sz w:val="26"/>
      <w:szCs w:val="26"/>
    </w:rPr>
  </w:style>
  <w:style w:type="paragraph" w:styleId="Heading4">
    <w:name w:val="heading 4"/>
    <w:basedOn w:val="Normal"/>
    <w:next w:val="Normal"/>
    <w:qFormat/>
    <w:rsid w:val="00E41DF7"/>
    <w:pPr>
      <w:keepNext/>
      <w:spacing w:before="240" w:after="60"/>
      <w:outlineLvl w:val="3"/>
    </w:pPr>
    <w:rPr>
      <w:b/>
      <w:bCs/>
      <w:sz w:val="28"/>
      <w:szCs w:val="28"/>
    </w:rPr>
  </w:style>
  <w:style w:type="paragraph" w:styleId="Heading5">
    <w:name w:val="heading 5"/>
    <w:basedOn w:val="Normal"/>
    <w:next w:val="Normal"/>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1DF7"/>
    <w:rPr>
      <w:color w:val="0000FF"/>
      <w:u w:val="single"/>
    </w:rPr>
  </w:style>
  <w:style w:type="paragraph" w:styleId="NormalWeb">
    <w:name w:val="Normal (Web)"/>
    <w:basedOn w:val="Normal"/>
    <w:uiPriority w:val="99"/>
    <w:rsid w:val="00E41DF7"/>
    <w:pPr>
      <w:spacing w:before="100" w:beforeAutospacing="1" w:after="100" w:afterAutospacing="1"/>
    </w:pPr>
  </w:style>
  <w:style w:type="paragraph" w:styleId="BodyText">
    <w:name w:val="Body Text"/>
    <w:basedOn w:val="Normal"/>
    <w:rsid w:val="00E41DF7"/>
    <w:pPr>
      <w:spacing w:line="300" w:lineRule="atLeast"/>
      <w:jc w:val="both"/>
    </w:pPr>
    <w:rPr>
      <w:rFonts w:ascii="Verdana" w:hAnsi="Verdana"/>
      <w:sz w:val="18"/>
    </w:rPr>
  </w:style>
  <w:style w:type="paragraph" w:styleId="BodyText2">
    <w:name w:val="Body Text 2"/>
    <w:basedOn w:val="Normal"/>
    <w:rsid w:val="00E41DF7"/>
    <w:pPr>
      <w:spacing w:after="120" w:line="480" w:lineRule="auto"/>
    </w:pPr>
  </w:style>
  <w:style w:type="paragraph" w:styleId="BodyText3">
    <w:name w:val="Body Text 3"/>
    <w:basedOn w:val="Normal"/>
    <w:rsid w:val="00E41DF7"/>
    <w:pPr>
      <w:spacing w:after="120"/>
    </w:pPr>
    <w:rPr>
      <w:sz w:val="16"/>
      <w:szCs w:val="16"/>
    </w:rPr>
  </w:style>
  <w:style w:type="paragraph" w:customStyle="1" w:styleId="StandardAria11pkt">
    <w:name w:val="Standard + Aria. 11pkt"/>
    <w:basedOn w:val="BodyText2"/>
    <w:rsid w:val="00E41DF7"/>
    <w:pPr>
      <w:widowControl w:val="0"/>
      <w:spacing w:after="0" w:line="240" w:lineRule="auto"/>
    </w:pPr>
    <w:rPr>
      <w:rFonts w:ascii="Arial" w:hAnsi="Arial" w:cs="Arial"/>
      <w:b/>
      <w:bCs/>
      <w:sz w:val="22"/>
      <w:szCs w:val="22"/>
    </w:rPr>
  </w:style>
  <w:style w:type="paragraph" w:styleId="FootnoteText">
    <w:name w:val="footnote text"/>
    <w:basedOn w:val="Normal"/>
    <w:link w:val="FootnoteTextChar"/>
    <w:uiPriority w:val="99"/>
    <w:rsid w:val="00E41DF7"/>
    <w:rPr>
      <w:sz w:val="20"/>
      <w:szCs w:val="20"/>
    </w:rPr>
  </w:style>
  <w:style w:type="character" w:styleId="FootnoteReference">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Normal"/>
    <w:rsid w:val="00E41DF7"/>
    <w:pPr>
      <w:autoSpaceDE w:val="0"/>
      <w:autoSpaceDN w:val="0"/>
    </w:pPr>
    <w:rPr>
      <w:rFonts w:ascii="Helvetica" w:hAnsi="Helvetica" w:cs="Helvetica"/>
    </w:rPr>
  </w:style>
  <w:style w:type="paragraph" w:styleId="DocumentMap">
    <w:name w:val="Document Map"/>
    <w:basedOn w:val="Normal"/>
    <w:semiHidden/>
    <w:rsid w:val="00E41DF7"/>
    <w:pPr>
      <w:shd w:val="clear" w:color="auto" w:fill="000080"/>
    </w:pPr>
    <w:rPr>
      <w:rFonts w:ascii="Tahoma" w:hAnsi="Tahoma" w:cs="Tahoma"/>
      <w:sz w:val="20"/>
      <w:szCs w:val="20"/>
    </w:rPr>
  </w:style>
  <w:style w:type="paragraph" w:styleId="BodyTextIndent">
    <w:name w:val="Body Text Indent"/>
    <w:basedOn w:val="Normal"/>
    <w:rsid w:val="00E41DF7"/>
    <w:pPr>
      <w:spacing w:after="120"/>
      <w:ind w:left="283"/>
    </w:pPr>
  </w:style>
  <w:style w:type="character" w:customStyle="1" w:styleId="mw-headline">
    <w:name w:val="mw-headline"/>
    <w:basedOn w:val="DefaultParagraphFont"/>
    <w:rsid w:val="00E41DF7"/>
  </w:style>
  <w:style w:type="character" w:customStyle="1" w:styleId="editsection">
    <w:name w:val="editsection"/>
    <w:basedOn w:val="DefaultParagraphFont"/>
    <w:rsid w:val="00E41DF7"/>
  </w:style>
  <w:style w:type="paragraph" w:styleId="ListBullet">
    <w:name w:val="List Bullet"/>
    <w:basedOn w:val="Normal"/>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BodyTextIndent"/>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Header">
    <w:name w:val="header"/>
    <w:basedOn w:val="Normal"/>
    <w:rsid w:val="00E41DF7"/>
    <w:pPr>
      <w:tabs>
        <w:tab w:val="center" w:pos="4536"/>
        <w:tab w:val="right" w:pos="9072"/>
      </w:tabs>
    </w:pPr>
  </w:style>
  <w:style w:type="paragraph" w:styleId="Footer">
    <w:name w:val="footer"/>
    <w:basedOn w:val="Normal"/>
    <w:rsid w:val="00E41DF7"/>
    <w:pPr>
      <w:tabs>
        <w:tab w:val="center" w:pos="4536"/>
        <w:tab w:val="right" w:pos="9072"/>
      </w:tabs>
    </w:pPr>
  </w:style>
  <w:style w:type="paragraph" w:customStyle="1" w:styleId="Listenabsatz1">
    <w:name w:val="Listenabsatz1"/>
    <w:basedOn w:val="Normal"/>
    <w:qFormat/>
    <w:rsid w:val="00E41DF7"/>
    <w:pPr>
      <w:ind w:left="720"/>
    </w:pPr>
    <w:rPr>
      <w:rFonts w:ascii="Times" w:eastAsia="Times" w:hAnsi="Times"/>
      <w:szCs w:val="20"/>
      <w:lang w:val="fr-FR" w:eastAsia="fr-FR"/>
    </w:rPr>
  </w:style>
  <w:style w:type="paragraph" w:customStyle="1" w:styleId="Standaard11">
    <w:name w:val="Standaard 11"/>
    <w:basedOn w:val="Normal"/>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PageNumber">
    <w:name w:val="page number"/>
    <w:basedOn w:val="DefaultParagraphFont"/>
    <w:rsid w:val="00E41DF7"/>
  </w:style>
  <w:style w:type="character" w:styleId="FollowedHyperlink">
    <w:name w:val="FollowedHyperlink"/>
    <w:rsid w:val="00F46B43"/>
    <w:rPr>
      <w:color w:val="800080"/>
      <w:u w:val="single"/>
    </w:rPr>
  </w:style>
  <w:style w:type="character" w:styleId="Strong">
    <w:name w:val="Strong"/>
    <w:qFormat/>
    <w:rsid w:val="00AC2AE4"/>
    <w:rPr>
      <w:b/>
      <w:bCs/>
    </w:rPr>
  </w:style>
  <w:style w:type="character" w:customStyle="1" w:styleId="apple-style-span">
    <w:name w:val="apple-style-span"/>
    <w:basedOn w:val="DefaultParagraphFont"/>
    <w:rsid w:val="00AA6A1F"/>
  </w:style>
  <w:style w:type="paragraph" w:styleId="PlainText">
    <w:name w:val="Plain Text"/>
    <w:basedOn w:val="Normal"/>
    <w:link w:val="PlainTextChar"/>
    <w:uiPriority w:val="99"/>
    <w:rsid w:val="000654DB"/>
    <w:rPr>
      <w:rFonts w:ascii="Courier New" w:hAnsi="Courier New" w:cs="Courier New"/>
      <w:sz w:val="20"/>
      <w:szCs w:val="20"/>
      <w:lang w:val="de-AT" w:eastAsia="de-AT"/>
    </w:rPr>
  </w:style>
  <w:style w:type="paragraph" w:styleId="BalloonText">
    <w:name w:val="Balloon Text"/>
    <w:basedOn w:val="Normal"/>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DefaultParagraphFont"/>
    <w:rsid w:val="00BD2CB4"/>
  </w:style>
  <w:style w:type="character" w:customStyle="1" w:styleId="Heading1Char">
    <w:name w:val="Heading 1 Char"/>
    <w:basedOn w:val="DefaultParagraphFont"/>
    <w:link w:val="Heading1"/>
    <w:rsid w:val="009C0080"/>
    <w:rPr>
      <w:rFonts w:ascii="Arial" w:hAnsi="Arial" w:cs="Arial"/>
      <w:b/>
      <w:bCs/>
      <w:kern w:val="32"/>
      <w:sz w:val="32"/>
      <w:szCs w:val="32"/>
      <w:lang w:val="de-DE" w:eastAsia="de-DE"/>
    </w:rPr>
  </w:style>
  <w:style w:type="character" w:customStyle="1" w:styleId="FootnoteTextChar">
    <w:name w:val="Footnote Text Char"/>
    <w:basedOn w:val="DefaultParagraphFont"/>
    <w:link w:val="FootnoteText"/>
    <w:uiPriority w:val="99"/>
    <w:rsid w:val="009C0080"/>
    <w:rPr>
      <w:lang w:val="de-DE" w:eastAsia="de-DE"/>
    </w:rPr>
  </w:style>
  <w:style w:type="paragraph" w:styleId="ListParagraph">
    <w:name w:val="List Paragraph"/>
    <w:basedOn w:val="Normal"/>
    <w:uiPriority w:val="34"/>
    <w:qFormat/>
    <w:rsid w:val="00C91210"/>
    <w:pPr>
      <w:ind w:left="720"/>
      <w:contextualSpacing/>
    </w:pPr>
    <w:rPr>
      <w:rFonts w:ascii="Century Schoolbook" w:hAnsi="Century Schoolbook"/>
      <w:szCs w:val="20"/>
    </w:rPr>
  </w:style>
  <w:style w:type="paragraph" w:customStyle="1" w:styleId="bold">
    <w:name w:val="bold"/>
    <w:basedOn w:val="Normal"/>
    <w:rsid w:val="006F6CAB"/>
    <w:pPr>
      <w:spacing w:before="100" w:beforeAutospacing="1" w:after="100" w:afterAutospacing="1"/>
    </w:pPr>
    <w:rPr>
      <w:lang w:val="de-AT" w:eastAsia="de-AT"/>
    </w:rPr>
  </w:style>
  <w:style w:type="character" w:styleId="CommentReference">
    <w:name w:val="annotation reference"/>
    <w:basedOn w:val="DefaultParagraphFont"/>
    <w:rsid w:val="00CC7E93"/>
    <w:rPr>
      <w:sz w:val="16"/>
      <w:szCs w:val="16"/>
    </w:rPr>
  </w:style>
  <w:style w:type="paragraph" w:styleId="CommentText">
    <w:name w:val="annotation text"/>
    <w:basedOn w:val="Normal"/>
    <w:link w:val="CommentTextChar"/>
    <w:rsid w:val="00CC7E93"/>
    <w:rPr>
      <w:sz w:val="20"/>
      <w:szCs w:val="20"/>
    </w:rPr>
  </w:style>
  <w:style w:type="character" w:customStyle="1" w:styleId="CommentTextChar">
    <w:name w:val="Comment Text Char"/>
    <w:basedOn w:val="DefaultParagraphFont"/>
    <w:link w:val="CommentText"/>
    <w:rsid w:val="00CC7E93"/>
    <w:rPr>
      <w:lang w:val="de-DE" w:eastAsia="de-DE"/>
    </w:rPr>
  </w:style>
  <w:style w:type="paragraph" w:styleId="CommentSubject">
    <w:name w:val="annotation subject"/>
    <w:basedOn w:val="CommentText"/>
    <w:next w:val="CommentText"/>
    <w:link w:val="CommentSubjectChar"/>
    <w:rsid w:val="00CC7E93"/>
    <w:rPr>
      <w:b/>
      <w:bCs/>
    </w:rPr>
  </w:style>
  <w:style w:type="character" w:customStyle="1" w:styleId="CommentSubjectChar">
    <w:name w:val="Comment Subject Char"/>
    <w:basedOn w:val="CommentTextChar"/>
    <w:link w:val="CommentSubject"/>
    <w:rsid w:val="00CC7E93"/>
    <w:rPr>
      <w:b/>
      <w:bCs/>
      <w:lang w:val="de-DE" w:eastAsia="de-DE"/>
    </w:rPr>
  </w:style>
  <w:style w:type="paragraph" w:styleId="Revision">
    <w:name w:val="Revision"/>
    <w:hidden/>
    <w:uiPriority w:val="99"/>
    <w:semiHidden/>
    <w:rsid w:val="00CC7E93"/>
    <w:rPr>
      <w:sz w:val="24"/>
      <w:szCs w:val="24"/>
      <w:lang w:val="de-DE" w:eastAsia="de-DE"/>
    </w:rPr>
  </w:style>
  <w:style w:type="character" w:customStyle="1" w:styleId="PlainTextChar">
    <w:name w:val="Plain Text Char"/>
    <w:basedOn w:val="DefaultParagraphFont"/>
    <w:link w:val="PlainText"/>
    <w:uiPriority w:val="99"/>
    <w:rsid w:val="00847175"/>
    <w:rPr>
      <w:rFonts w:ascii="Courier New" w:hAnsi="Courier New" w:cs="Courier New"/>
    </w:rPr>
  </w:style>
  <w:style w:type="character" w:customStyle="1" w:styleId="glossary">
    <w:name w:val="glossary"/>
    <w:basedOn w:val="DefaultParagraphFon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766686468">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76A6-E71F-4981-95AB-13CB80F9DE00}">
  <ds:schemaRefs>
    <ds:schemaRef ds:uri="http://schemas.openxmlformats.org/officeDocument/2006/bibliography"/>
  </ds:schemaRefs>
</ds:datastoreItem>
</file>

<file path=customXml/itemProps2.xml><?xml version="1.0" encoding="utf-8"?>
<ds:datastoreItem xmlns:ds="http://schemas.openxmlformats.org/officeDocument/2006/customXml" ds:itemID="{65CD22B4-E697-43E9-9EA3-208D6F20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7974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9221</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2</cp:revision>
  <cp:lastPrinted>2014-09-28T07:42:00Z</cp:lastPrinted>
  <dcterms:created xsi:type="dcterms:W3CDTF">2015-10-18T12:07:00Z</dcterms:created>
  <dcterms:modified xsi:type="dcterms:W3CDTF">2015-10-18T12:07:00Z</dcterms:modified>
</cp:coreProperties>
</file>