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B5" w:rsidRDefault="00D40FB5" w:rsidP="00D40FB5">
      <w:pPr>
        <w:pStyle w:val="Textkrper-Zeileneinzug"/>
        <w:ind w:left="0" w:firstLine="0"/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1F497D"/>
          <w:sz w:val="22"/>
          <w:szCs w:val="22"/>
        </w:rPr>
        <w:drawing>
          <wp:inline distT="0" distB="0" distL="0" distR="0">
            <wp:extent cx="4816858" cy="473143"/>
            <wp:effectExtent l="19050" t="0" r="2792" b="0"/>
            <wp:docPr id="1" name="Grafik 0" descr="4er Logo KoZuG Förderungen mit Finanzierungszusatz Age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4er Logo KoZuG Förderungen mit Finanzierungszusatz Agend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58" cy="47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F497D"/>
          <w:sz w:val="48"/>
          <w:szCs w:val="48"/>
        </w:rPr>
        <w:drawing>
          <wp:inline distT="0" distB="0" distL="0" distR="0">
            <wp:extent cx="616077" cy="616077"/>
            <wp:effectExtent l="19050" t="0" r="0" b="0"/>
            <wp:docPr id="2" name="Grafik 1" descr="Dialog-gesund&amp;aktiv-altern_Logo-farbi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ialog-gesund&amp;aktiv-altern_Logo-farbig_CMY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" cy="61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B5" w:rsidRDefault="00D40FB5" w:rsidP="00D40FB5">
      <w:pPr>
        <w:pStyle w:val="Textkrper-Zeileneinzug"/>
        <w:ind w:left="0" w:firstLine="0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color w:val="1F497D"/>
          <w:sz w:val="22"/>
          <w:szCs w:val="22"/>
        </w:rPr>
      </w:pP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EINLADUNG</w:t>
      </w:r>
    </w:p>
    <w:p w:rsidR="00D40FB5" w:rsidRDefault="00D40FB5" w:rsidP="00D40FB5">
      <w:pPr>
        <w:pStyle w:val="Textkrper-Zeileneinzug"/>
        <w:ind w:left="0" w:firstLine="0"/>
        <w:rPr>
          <w:b/>
          <w:bCs/>
          <w:sz w:val="4"/>
          <w:szCs w:val="4"/>
        </w:rPr>
      </w:pP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Pressehintergrundgespräch</w:t>
      </w:r>
    </w:p>
    <w:p w:rsidR="00D40FB5" w:rsidRDefault="00D40FB5" w:rsidP="00D40FB5">
      <w:pPr>
        <w:pStyle w:val="Textkrper-Zeileneinzug"/>
        <w:ind w:left="0" w:firstLine="0"/>
        <w:jc w:val="center"/>
        <w:rPr>
          <w:sz w:val="12"/>
          <w:szCs w:val="12"/>
        </w:rPr>
      </w:pP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„Alter(n)</w:t>
      </w:r>
      <w:proofErr w:type="spellStart"/>
      <w:r>
        <w:rPr>
          <w:b/>
          <w:bCs/>
          <w:sz w:val="44"/>
          <w:szCs w:val="44"/>
          <w:u w:val="single"/>
        </w:rPr>
        <w:t>sbilder</w:t>
      </w:r>
      <w:proofErr w:type="spellEnd"/>
      <w:r>
        <w:rPr>
          <w:b/>
          <w:bCs/>
          <w:sz w:val="44"/>
          <w:szCs w:val="44"/>
          <w:u w:val="single"/>
        </w:rPr>
        <w:t>: Was heißt (schon) alt?“</w:t>
      </w: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Denkanstöße zum sensiblen Umgang mit dem Bild des älteren Menschen in den Medien</w:t>
      </w:r>
    </w:p>
    <w:p w:rsidR="00D40FB5" w:rsidRDefault="00D40FB5" w:rsidP="00D40FB5">
      <w:pPr>
        <w:pStyle w:val="Textkrper-Zeileneinzug"/>
        <w:ind w:left="0" w:firstLine="0"/>
        <w:jc w:val="center"/>
        <w:rPr>
          <w:b/>
          <w:bCs/>
          <w:sz w:val="10"/>
          <w:szCs w:val="10"/>
        </w:rPr>
      </w:pPr>
    </w:p>
    <w:p w:rsidR="00D40FB5" w:rsidRDefault="00D40FB5" w:rsidP="00D40FB5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APA-Pressezentrum,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Laimgrubengasse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10, 1060 Wien</w:t>
      </w:r>
    </w:p>
    <w:p w:rsidR="00D40FB5" w:rsidRDefault="00D40FB5" w:rsidP="00D40FB5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Donnerstag, 10. November 2022, 17:00 Uhr</w:t>
      </w:r>
    </w:p>
    <w:p w:rsidR="00D40FB5" w:rsidRDefault="00D40FB5" w:rsidP="00D40FB5">
      <w:pPr>
        <w:jc w:val="center"/>
        <w:rPr>
          <w:rFonts w:ascii="Arial" w:hAnsi="Arial" w:cs="Arial"/>
          <w:b/>
          <w:bCs/>
          <w:i/>
          <w:iCs/>
          <w:color w:val="0070C0"/>
          <w:lang w:val="de-AT"/>
        </w:rPr>
      </w:pPr>
      <w:r>
        <w:rPr>
          <w:rFonts w:ascii="Arial" w:hAnsi="Arial" w:cs="Arial"/>
          <w:i/>
          <w:iCs/>
          <w:sz w:val="24"/>
          <w:szCs w:val="24"/>
        </w:rPr>
        <w:t xml:space="preserve">(Wer sich bereits angemeldet hat, möge dieses Mail bitte als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Reminder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sehen.)</w:t>
      </w:r>
    </w:p>
    <w:p w:rsidR="00D40FB5" w:rsidRDefault="00D40FB5" w:rsidP="00D40FB5">
      <w:pPr>
        <w:autoSpaceDE w:val="0"/>
        <w:autoSpaceDN w:val="0"/>
        <w:rPr>
          <w:rFonts w:ascii="Arial" w:hAnsi="Arial" w:cs="Arial"/>
          <w:sz w:val="6"/>
          <w:szCs w:val="6"/>
          <w:lang w:val="de-AT"/>
        </w:rPr>
      </w:pPr>
    </w:p>
    <w:p w:rsidR="00D40FB5" w:rsidRDefault="00D40FB5" w:rsidP="00D40FB5">
      <w:pPr>
        <w:pStyle w:val="Textkrper-Zeileneinzug"/>
        <w:spacing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Ältere Menschen sind eine höchst heterogene Gruppe – „die Alten“ gibt es schlichtweg nicht. Alter ist immer auch eine Frage des Kontexts und nicht zuletzt der Fremd- und Selbstwahrnehmung. Nur allzu häufig sind aber klischeehafte Zuschreibungen zur Hand, „Alter(n)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>“, die die Vielfalt dessen, was Älterwerden bedeuten kann, stark reduzieren.</w:t>
      </w:r>
    </w:p>
    <w:p w:rsidR="00D40FB5" w:rsidRDefault="00D40FB5" w:rsidP="00D40FB5">
      <w:pPr>
        <w:pStyle w:val="Textkrper-Zeileneinzug"/>
        <w:spacing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Welche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 gibt es, wie entstehen sie und wie werden sie transportiert? Welche Wirkung, welche Macht haben sie? Was „machen</w:t>
      </w:r>
      <w:r>
        <w:rPr>
          <w:sz w:val="24"/>
          <w:szCs w:val="24"/>
        </w:rPr>
        <w:t>“ sie</w:t>
      </w:r>
      <w:r>
        <w:rPr>
          <w:color w:val="000000"/>
          <w:sz w:val="24"/>
          <w:szCs w:val="24"/>
        </w:rPr>
        <w:t xml:space="preserve"> mit uns, mit unserer Gesellschaft? </w:t>
      </w:r>
    </w:p>
    <w:p w:rsidR="00D40FB5" w:rsidRDefault="00D40FB5" w:rsidP="00D40FB5">
      <w:pPr>
        <w:pStyle w:val="Textkrper-Zeileneinzug"/>
        <w:spacing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Pressehintergrundgespräch „Alter(n)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: Was heißt (schon) alt?“ ist diesem Themenkomplex gewidmet. Die Veranstaltung wendet sich an </w:t>
      </w:r>
      <w:proofErr w:type="spellStart"/>
      <w:r>
        <w:rPr>
          <w:color w:val="000000"/>
          <w:sz w:val="24"/>
          <w:szCs w:val="24"/>
        </w:rPr>
        <w:t>Vertreter:innen</w:t>
      </w:r>
      <w:proofErr w:type="spellEnd"/>
      <w:r>
        <w:rPr>
          <w:color w:val="000000"/>
          <w:sz w:val="24"/>
          <w:szCs w:val="24"/>
        </w:rPr>
        <w:t xml:space="preserve"> der Medien, die mit ihrer Arbeit wesentlich zur Bewusstmachung dieser Problematik und der Frage, welche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 sich in der Öffentlichkeit etablieren, beitragen können.</w:t>
      </w:r>
    </w:p>
    <w:p w:rsidR="00D40FB5" w:rsidRDefault="00D40FB5" w:rsidP="00D40FB5">
      <w:pPr>
        <w:pStyle w:val="Textkrper-Zeileneinzug"/>
        <w:ind w:left="0" w:firstLine="0"/>
        <w:rPr>
          <w:sz w:val="24"/>
          <w:szCs w:val="24"/>
        </w:rPr>
      </w:pPr>
    </w:p>
    <w:p w:rsidR="00D40FB5" w:rsidRDefault="00D40FB5" w:rsidP="00D40FB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PROGRAMM</w:t>
      </w:r>
    </w:p>
    <w:p w:rsidR="00D40FB5" w:rsidRDefault="00D40FB5" w:rsidP="00D40FB5">
      <w:pPr>
        <w:autoSpaceDE w:val="0"/>
        <w:autoSpaceDN w:val="0"/>
        <w:rPr>
          <w:rFonts w:ascii="Arial" w:hAnsi="Arial" w:cs="Arial"/>
          <w:sz w:val="10"/>
          <w:szCs w:val="10"/>
          <w:lang w:val="de-AT"/>
        </w:rPr>
      </w:pPr>
      <w:bookmarkStart w:id="0" w:name="_Hlk117068926"/>
      <w:bookmarkEnd w:id="0"/>
    </w:p>
    <w:p w:rsidR="00D40FB5" w:rsidRDefault="00D40FB5" w:rsidP="00D40FB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ab 16:30 Uhr      </w:t>
      </w:r>
      <w:r>
        <w:rPr>
          <w:rFonts w:ascii="Arial" w:hAnsi="Arial" w:cs="Arial"/>
          <w:b/>
          <w:bCs/>
          <w:color w:val="1F497D"/>
          <w:sz w:val="24"/>
          <w:szCs w:val="24"/>
          <w:lang w:val="de-AT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de-AT"/>
        </w:rPr>
        <w:t xml:space="preserve">Eintreffen und Erfrischungen </w:t>
      </w:r>
    </w:p>
    <w:p w:rsidR="00D40FB5" w:rsidRDefault="00D40FB5" w:rsidP="00D40FB5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 xml:space="preserve">17.00 Uhr      </w:t>
      </w:r>
      <w:r>
        <w:rPr>
          <w:rFonts w:ascii="Arial" w:hAnsi="Arial" w:cs="Arial"/>
          <w:b/>
          <w:bCs/>
          <w:color w:val="1F497D"/>
          <w:sz w:val="24"/>
          <w:szCs w:val="24"/>
          <w:lang w:val="de-AT"/>
        </w:rPr>
        <w:t xml:space="preserve">           </w:t>
      </w:r>
      <w:r>
        <w:rPr>
          <w:rFonts w:ascii="Arial" w:hAnsi="Arial" w:cs="Arial"/>
          <w:b/>
          <w:bCs/>
          <w:sz w:val="24"/>
          <w:szCs w:val="24"/>
          <w:lang w:val="de-AT"/>
        </w:rPr>
        <w:t>Beginn der Vorträge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24"/>
          <w:szCs w:val="24"/>
          <w:u w:val="single"/>
        </w:rPr>
      </w:pP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Begrüßung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Mag.</w:t>
      </w:r>
      <w:r>
        <w:rPr>
          <w:sz w:val="24"/>
          <w:szCs w:val="24"/>
        </w:rPr>
        <w:t xml:space="preserve"> </w:t>
      </w:r>
      <w:hyperlink r:id="rId8" w:tgtFrame="_blank" w:history="1">
        <w:r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Dr. Klaus</w:t>
        </w:r>
        <w:r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Ropin</w:t>
        </w:r>
        <w:proofErr w:type="spellEnd"/>
        <w:r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color w:val="auto"/>
            <w:sz w:val="24"/>
            <w:szCs w:val="24"/>
            <w:u w:val="none"/>
          </w:rPr>
          <w:t xml:space="preserve"> Leiter Fonds Gesundes Österreich </w:t>
        </w:r>
      </w:hyperlink>
    </w:p>
    <w:p w:rsidR="00D40FB5" w:rsidRDefault="00D40FB5" w:rsidP="00D40FB5">
      <w:pPr>
        <w:pStyle w:val="Textkrper-Zeileneinzug"/>
        <w:spacing w:before="120" w:line="312" w:lineRule="auto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Der </w:t>
      </w:r>
      <w:r>
        <w:rPr>
          <w:rStyle w:val="A8"/>
          <w:sz w:val="24"/>
          <w:szCs w:val="24"/>
        </w:rPr>
        <w:t xml:space="preserve">Dialog gesund &amp; aktiv altern </w:t>
      </w:r>
      <w:r>
        <w:rPr>
          <w:color w:val="000000"/>
          <w:sz w:val="24"/>
          <w:szCs w:val="24"/>
        </w:rPr>
        <w:t>wurde 2019 vom Bundesministerium für Soziales, Gesundheit, Pflege und Konsumentenschutz, dem Fonds Gesundes Österreich und dem Dachverband der österreichischen Sozialversicherungen gestartet. Mehr gesunde Lebensjahre, bessere Chancen für soziale Teilhabe – dafür steht der Dialog. Darüber hinaus verfolgt er auch das Ziel, positive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 zu stärken und zu einer neuen Kultur des </w:t>
      </w:r>
      <w:r>
        <w:rPr>
          <w:i/>
          <w:iCs/>
          <w:color w:val="000000"/>
          <w:sz w:val="24"/>
          <w:szCs w:val="24"/>
        </w:rPr>
        <w:t>guten</w:t>
      </w:r>
      <w:r>
        <w:rPr>
          <w:color w:val="000000"/>
          <w:sz w:val="24"/>
          <w:szCs w:val="24"/>
        </w:rPr>
        <w:t xml:space="preserve"> Älterwerdens in unserer Gesellschaft beizutragen</w:t>
      </w:r>
      <w:r>
        <w:rPr>
          <w:sz w:val="24"/>
          <w:szCs w:val="24"/>
        </w:rPr>
        <w:t>.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16"/>
          <w:szCs w:val="16"/>
          <w:u w:val="single"/>
        </w:rPr>
      </w:pPr>
    </w:p>
    <w:p w:rsidR="00D40FB5" w:rsidRDefault="00D40FB5" w:rsidP="00D40FB5">
      <w:pPr>
        <w:pStyle w:val="Textkrper-Zeileneinzug"/>
        <w:spacing w:before="120" w:line="312" w:lineRule="auto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Alte Stücke, neue Bilder: King Lear und das Alter(n)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sbild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im Wandel der Zeit</w:t>
      </w:r>
      <w:r>
        <w:rPr>
          <w:b/>
          <w:bCs/>
          <w:i/>
          <w:iCs/>
          <w:sz w:val="24"/>
          <w:szCs w:val="24"/>
        </w:rPr>
        <w:br/>
      </w:r>
      <w:proofErr w:type="spellStart"/>
      <w:r>
        <w:rPr>
          <w:b/>
          <w:bCs/>
          <w:i/>
          <w:iCs/>
          <w:sz w:val="24"/>
          <w:szCs w:val="24"/>
        </w:rPr>
        <w:t>Asso</w:t>
      </w:r>
      <w:r>
        <w:rPr>
          <w:b/>
          <w:bCs/>
          <w:i/>
          <w:iCs/>
          <w:color w:val="1F497D"/>
          <w:sz w:val="24"/>
          <w:szCs w:val="24"/>
        </w:rPr>
        <w:t>z</w:t>
      </w:r>
      <w:proofErr w:type="spellEnd"/>
      <w:r>
        <w:rPr>
          <w:b/>
          <w:bCs/>
          <w:i/>
          <w:iCs/>
          <w:color w:val="1F497D"/>
          <w:sz w:val="24"/>
          <w:szCs w:val="24"/>
        </w:rPr>
        <w:t>.  </w:t>
      </w:r>
      <w:proofErr w:type="spellStart"/>
      <w:r>
        <w:rPr>
          <w:b/>
          <w:bCs/>
          <w:i/>
          <w:iCs/>
          <w:sz w:val="24"/>
          <w:szCs w:val="24"/>
        </w:rPr>
        <w:t>Prof.</w:t>
      </w:r>
      <w:r>
        <w:rPr>
          <w:b/>
          <w:bCs/>
          <w:i/>
          <w:iCs/>
          <w:sz w:val="24"/>
          <w:szCs w:val="24"/>
          <w:vertAlign w:val="superscript"/>
        </w:rPr>
        <w:t>in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Mag.</w:t>
      </w:r>
      <w:r>
        <w:rPr>
          <w:b/>
          <w:bCs/>
          <w:i/>
          <w:iCs/>
          <w:sz w:val="24"/>
          <w:szCs w:val="24"/>
          <w:vertAlign w:val="superscript"/>
        </w:rPr>
        <w:t>a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Dr.</w:t>
      </w:r>
      <w:r>
        <w:rPr>
          <w:b/>
          <w:bCs/>
          <w:i/>
          <w:iCs/>
          <w:sz w:val="24"/>
          <w:szCs w:val="24"/>
          <w:vertAlign w:val="superscript"/>
        </w:rPr>
        <w:t>in</w:t>
      </w:r>
      <w:proofErr w:type="spellEnd"/>
      <w:r>
        <w:rPr>
          <w:b/>
          <w:bCs/>
          <w:i/>
          <w:iCs/>
          <w:sz w:val="24"/>
          <w:szCs w:val="24"/>
        </w:rPr>
        <w:t xml:space="preserve"> Ulla </w:t>
      </w:r>
      <w:proofErr w:type="spellStart"/>
      <w:r>
        <w:rPr>
          <w:b/>
          <w:bCs/>
          <w:i/>
          <w:iCs/>
          <w:sz w:val="24"/>
          <w:szCs w:val="24"/>
        </w:rPr>
        <w:t>Kriebernegg</w:t>
      </w:r>
      <w:proofErr w:type="spellEnd"/>
      <w:r>
        <w:rPr>
          <w:sz w:val="24"/>
          <w:szCs w:val="24"/>
        </w:rPr>
        <w:t xml:space="preserve">, Leiterin des Zentrums für Interdisziplinäre Alterns- und Care-Forschung, Universität Graz </w:t>
      </w:r>
    </w:p>
    <w:p w:rsidR="00D40FB5" w:rsidRDefault="00D40FB5" w:rsidP="00D40FB5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Anhand der Wandlung des Bildes von King Lear in Theater und Film – von Shakespeares altem, weisen Mann zum Diktator mit Demenz – zeigt sich auch der Wandel des Altersbildes in der Gesellschaft. </w:t>
      </w:r>
    </w:p>
    <w:p w:rsidR="00D40FB5" w:rsidRDefault="00D40FB5" w:rsidP="00D40FB5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Vortrag thematisiert Geschichte und Geschichten, deckt Stereotypien auf, entlarvt, wie häufig das Bild des Alter(n)s eindimensional und negativ gezeichnet wird, und sensibilisiert für einen bewussten, verantwortungsvollen Umgang mit Alter(n)</w:t>
      </w:r>
      <w:proofErr w:type="spellStart"/>
      <w:r>
        <w:rPr>
          <w:rFonts w:ascii="Arial" w:hAnsi="Arial" w:cs="Arial"/>
          <w:sz w:val="24"/>
          <w:szCs w:val="24"/>
        </w:rPr>
        <w:t>sbildern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16"/>
          <w:szCs w:val="16"/>
          <w:u w:val="single"/>
        </w:rPr>
      </w:pP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  <w:u w:val="single"/>
        </w:rPr>
        <w:t>No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more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wrinkly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hands</w:t>
      </w:r>
      <w:proofErr w:type="spellEnd"/>
      <w:r>
        <w:rPr>
          <w:b/>
          <w:bCs/>
          <w:i/>
          <w:iCs/>
          <w:sz w:val="24"/>
          <w:szCs w:val="24"/>
          <w:u w:val="single"/>
        </w:rPr>
        <w:t>! – Die Macht von Alter(n)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sbildern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und wie sie sich verändern lassen</w:t>
      </w:r>
      <w:r>
        <w:rPr>
          <w:b/>
          <w:bCs/>
          <w:i/>
          <w:iCs/>
          <w:sz w:val="24"/>
          <w:szCs w:val="24"/>
          <w:u w:val="single"/>
        </w:rPr>
        <w:br/>
      </w:r>
      <w:proofErr w:type="spellStart"/>
      <w:r>
        <w:rPr>
          <w:b/>
          <w:bCs/>
          <w:i/>
          <w:iCs/>
          <w:sz w:val="24"/>
          <w:szCs w:val="24"/>
        </w:rPr>
        <w:t>Dr.</w:t>
      </w:r>
      <w:r>
        <w:rPr>
          <w:b/>
          <w:bCs/>
          <w:i/>
          <w:iCs/>
          <w:sz w:val="24"/>
          <w:szCs w:val="24"/>
          <w:vertAlign w:val="superscript"/>
        </w:rPr>
        <w:t>in</w:t>
      </w:r>
      <w:proofErr w:type="spellEnd"/>
      <w:r>
        <w:rPr>
          <w:b/>
          <w:bCs/>
          <w:i/>
          <w:iCs/>
          <w:sz w:val="24"/>
          <w:szCs w:val="24"/>
        </w:rPr>
        <w:t xml:space="preserve"> Vera Maria </w:t>
      </w:r>
      <w:proofErr w:type="spellStart"/>
      <w:r>
        <w:rPr>
          <w:b/>
          <w:bCs/>
          <w:i/>
          <w:iCs/>
          <w:sz w:val="24"/>
          <w:szCs w:val="24"/>
        </w:rPr>
        <w:t>Gallistl</w:t>
      </w:r>
      <w:proofErr w:type="spellEnd"/>
      <w:r>
        <w:rPr>
          <w:sz w:val="24"/>
          <w:szCs w:val="24"/>
        </w:rPr>
        <w:t xml:space="preserve">, BA MA, Kompetenzzentrum Gerontologie und Gesundheitsforschung, Karl Landsteiner Universität für Gesundheitswissenschaften 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 wann spricht man überhaupt von „alt“? Wie gehen wir als Gesellschaft damit um, immer älter zu werden? Was ist der Unterschied zwischen kalendarischem, psychologischem und sozialem Alter? Was sind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 und welche Wirkung haben sie? Was „machen“ sie mit uns, mit unserer Gesellschaft?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ihrem Vortrag analysiert und betrachtet die Soziologin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>, unter anderem am Beispiel der COVID-19-Pandemie. Wie können negative Alter(n)</w:t>
      </w:r>
      <w:proofErr w:type="spellStart"/>
      <w:r>
        <w:rPr>
          <w:color w:val="000000"/>
          <w:sz w:val="24"/>
          <w:szCs w:val="24"/>
        </w:rPr>
        <w:t>sbilder</w:t>
      </w:r>
      <w:proofErr w:type="spellEnd"/>
      <w:r>
        <w:rPr>
          <w:color w:val="000000"/>
          <w:sz w:val="24"/>
          <w:szCs w:val="24"/>
        </w:rPr>
        <w:t xml:space="preserve"> die eigene Wahrnehmung negativ beeinflussen, wie (negative) Zuweisungen von außen ein gesundes Älterwerden behindern? Wie kann/soll ein positives Alter(n)</w:t>
      </w:r>
      <w:proofErr w:type="spellStart"/>
      <w:r>
        <w:rPr>
          <w:color w:val="000000"/>
          <w:sz w:val="24"/>
          <w:szCs w:val="24"/>
        </w:rPr>
        <w:t>sbild</w:t>
      </w:r>
      <w:proofErr w:type="spellEnd"/>
      <w:r>
        <w:rPr>
          <w:color w:val="000000"/>
          <w:sz w:val="24"/>
          <w:szCs w:val="24"/>
        </w:rPr>
        <w:t xml:space="preserve"> aussehen?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16"/>
          <w:szCs w:val="16"/>
          <w:u w:val="single"/>
        </w:rPr>
      </w:pP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Neue Bilder des Alter(n)s – Impulse zum sensiblen Umgang mit Alter(n)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sbildern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in den Medien</w:t>
      </w:r>
      <w:r>
        <w:rPr>
          <w:b/>
          <w:bCs/>
          <w:i/>
          <w:iCs/>
          <w:sz w:val="24"/>
          <w:szCs w:val="24"/>
        </w:rPr>
        <w:br/>
      </w:r>
      <w:proofErr w:type="spellStart"/>
      <w:r>
        <w:rPr>
          <w:b/>
          <w:bCs/>
          <w:i/>
          <w:iCs/>
          <w:sz w:val="24"/>
          <w:szCs w:val="24"/>
        </w:rPr>
        <w:t>Mag.</w:t>
      </w:r>
      <w:r>
        <w:rPr>
          <w:b/>
          <w:bCs/>
          <w:i/>
          <w:iCs/>
          <w:sz w:val="24"/>
          <w:szCs w:val="24"/>
          <w:vertAlign w:val="superscript"/>
        </w:rPr>
        <w:t>a</w:t>
      </w:r>
      <w:proofErr w:type="spellEnd"/>
      <w:r>
        <w:rPr>
          <w:b/>
          <w:bCs/>
          <w:i/>
          <w:iCs/>
          <w:sz w:val="24"/>
          <w:szCs w:val="24"/>
        </w:rPr>
        <w:t xml:space="preserve"> Yvonne </w:t>
      </w:r>
      <w:proofErr w:type="spellStart"/>
      <w:r>
        <w:rPr>
          <w:b/>
          <w:bCs/>
          <w:i/>
          <w:iCs/>
          <w:sz w:val="24"/>
          <w:szCs w:val="24"/>
        </w:rPr>
        <w:t>Giedenbacher</w:t>
      </w:r>
      <w:proofErr w:type="spellEnd"/>
      <w:r>
        <w:rPr>
          <w:b/>
          <w:bCs/>
          <w:i/>
          <w:iCs/>
          <w:sz w:val="24"/>
          <w:szCs w:val="24"/>
        </w:rPr>
        <w:t>, BA,</w:t>
      </w:r>
      <w:r>
        <w:rPr>
          <w:sz w:val="24"/>
          <w:szCs w:val="24"/>
        </w:rPr>
        <w:t xml:space="preserve"> Autorin des Leitfadens </w:t>
      </w:r>
      <w:r>
        <w:rPr>
          <w:i/>
          <w:iCs/>
          <w:sz w:val="24"/>
          <w:szCs w:val="24"/>
        </w:rPr>
        <w:t>Neue Bilder des Alter(n)s</w:t>
      </w:r>
      <w:r>
        <w:rPr>
          <w:sz w:val="24"/>
          <w:szCs w:val="24"/>
        </w:rPr>
        <w:t xml:space="preserve"> 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</w:rPr>
        <w:t>Journalistinnen und Journalisten tragen durch ihre Arbeit bedeutend dazu bei, welche Alter(n)</w:t>
      </w:r>
      <w:proofErr w:type="spellStart"/>
      <w:r>
        <w:rPr>
          <w:sz w:val="24"/>
          <w:szCs w:val="24"/>
        </w:rPr>
        <w:t>sbilder</w:t>
      </w:r>
      <w:proofErr w:type="spellEnd"/>
      <w:r>
        <w:rPr>
          <w:sz w:val="24"/>
          <w:szCs w:val="24"/>
        </w:rPr>
        <w:t xml:space="preserve"> sich in der Öffentlichkeit etablieren. 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 ihrem Vortrag spricht </w:t>
      </w:r>
      <w:proofErr w:type="spellStart"/>
      <w:r>
        <w:rPr>
          <w:color w:val="000000"/>
          <w:sz w:val="24"/>
          <w:szCs w:val="24"/>
        </w:rPr>
        <w:t>Giedenbacher</w:t>
      </w:r>
      <w:proofErr w:type="spellEnd"/>
      <w:r>
        <w:rPr>
          <w:color w:val="000000"/>
          <w:sz w:val="24"/>
          <w:szCs w:val="24"/>
        </w:rPr>
        <w:t xml:space="preserve"> über </w:t>
      </w:r>
      <w:proofErr w:type="spellStart"/>
      <w:r>
        <w:rPr>
          <w:color w:val="000000"/>
          <w:sz w:val="24"/>
          <w:szCs w:val="24"/>
        </w:rPr>
        <w:t>Ageism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Framing</w:t>
      </w:r>
      <w:proofErr w:type="spellEnd"/>
      <w:r>
        <w:rPr>
          <w:color w:val="000000"/>
          <w:sz w:val="24"/>
          <w:szCs w:val="24"/>
        </w:rPr>
        <w:t xml:space="preserve"> sowie </w:t>
      </w:r>
      <w:proofErr w:type="spellStart"/>
      <w:r>
        <w:rPr>
          <w:color w:val="000000"/>
          <w:sz w:val="24"/>
          <w:szCs w:val="24"/>
        </w:rPr>
        <w:t>Othering</w:t>
      </w:r>
      <w:proofErr w:type="spellEnd"/>
      <w:r>
        <w:rPr>
          <w:color w:val="000000"/>
          <w:sz w:val="24"/>
          <w:szCs w:val="24"/>
        </w:rPr>
        <w:t xml:space="preserve"> und gibt Impulse und Anregungen für die journalistische Arbeit, die dazu beitragen können, das Bild des Alter(n)s in den Medien in all seiner Vielfalt darzustellen.</w:t>
      </w:r>
    </w:p>
    <w:p w:rsidR="00D40FB5" w:rsidRDefault="00D40FB5" w:rsidP="00D40FB5">
      <w:pPr>
        <w:pStyle w:val="Textkrper-Zeileneinzug"/>
        <w:spacing w:before="0" w:line="312" w:lineRule="auto"/>
        <w:ind w:left="0" w:firstLine="0"/>
        <w:rPr>
          <w:b/>
          <w:bCs/>
          <w:i/>
          <w:iCs/>
          <w:sz w:val="16"/>
          <w:szCs w:val="16"/>
          <w:u w:val="single"/>
        </w:rPr>
      </w:pPr>
    </w:p>
    <w:p w:rsidR="00D40FB5" w:rsidRDefault="00D40FB5" w:rsidP="00D40FB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 xml:space="preserve">ca. 18:30 Uhr      </w:t>
      </w:r>
      <w:r>
        <w:rPr>
          <w:rFonts w:ascii="Arial" w:hAnsi="Arial" w:cs="Arial"/>
          <w:b/>
          <w:bCs/>
          <w:color w:val="1F497D"/>
          <w:sz w:val="24"/>
          <w:szCs w:val="24"/>
          <w:lang w:val="de-AT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de-AT"/>
        </w:rPr>
        <w:t>Ende der Vorträge</w:t>
      </w:r>
    </w:p>
    <w:p w:rsidR="00D40FB5" w:rsidRDefault="00D40FB5" w:rsidP="00D40FB5">
      <w:pPr>
        <w:pStyle w:val="Fu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 Anschluss 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        </w:t>
      </w:r>
      <w:r>
        <w:rPr>
          <w:rFonts w:ascii="Arial" w:hAnsi="Arial" w:cs="Arial"/>
          <w:b/>
          <w:bCs/>
          <w:sz w:val="24"/>
          <w:szCs w:val="24"/>
        </w:rPr>
        <w:t>Gedankenaustausch bei kleinem Buffet</w:t>
      </w:r>
    </w:p>
    <w:p w:rsidR="00D40FB5" w:rsidRDefault="00D40FB5" w:rsidP="00D40FB5">
      <w:pPr>
        <w:jc w:val="center"/>
        <w:rPr>
          <w:rFonts w:ascii="Arial" w:hAnsi="Arial" w:cs="Arial"/>
          <w:sz w:val="24"/>
          <w:szCs w:val="24"/>
        </w:rPr>
      </w:pPr>
    </w:p>
    <w:p w:rsidR="00D40FB5" w:rsidRDefault="00D40FB5" w:rsidP="00D40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Anmeldung wird gebeten. Es handelt sich um eine Präsenzveranstaltung, aber auch die virtuelle Teilnahme ist möglich: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https://events.streaming.at/fgoe-20221110</w:t>
        </w:r>
      </w:hyperlink>
    </w:p>
    <w:p w:rsidR="00D40FB5" w:rsidRDefault="00D40FB5" w:rsidP="00D40FB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D40FB5" w:rsidRDefault="00D40FB5" w:rsidP="00D40FB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Rückfragen und Anmeldung</w:t>
      </w:r>
    </w:p>
    <w:p w:rsidR="00D40FB5" w:rsidRDefault="00D40FB5" w:rsidP="00D40FB5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 &amp; Schenk medical media consulting</w:t>
      </w:r>
    </w:p>
    <w:p w:rsidR="00D40FB5" w:rsidRDefault="00D40FB5" w:rsidP="00D40FB5">
      <w:pPr>
        <w:autoSpaceDE w:val="0"/>
        <w:autoSpaceDN w:val="0"/>
        <w:spacing w:after="0" w:line="288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Barbara Urban: 0664/41 69 4 59,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lang w:val="sv-SE"/>
          </w:rPr>
          <w:t>barbara.urban@medical-media-consulting.at</w:t>
        </w:r>
      </w:hyperlink>
    </w:p>
    <w:p w:rsidR="00D40FB5" w:rsidRDefault="00D40FB5" w:rsidP="00D40FB5">
      <w:pPr>
        <w:spacing w:after="0" w:line="288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  <w:lang w:val="de-AT"/>
        </w:rPr>
        <w:t xml:space="preserve">Mag. Harald Schenk: 0664/160 75 99,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lang w:val="de-AT"/>
          </w:rPr>
          <w:t>harald.schenk@medical-media-consulting.at</w:t>
        </w:r>
      </w:hyperlink>
    </w:p>
    <w:p w:rsidR="00D40FB5" w:rsidRDefault="006E09E6" w:rsidP="00D40FB5">
      <w:pPr>
        <w:spacing w:after="0" w:line="288" w:lineRule="auto"/>
        <w:rPr>
          <w:rStyle w:val="Hyperlink"/>
          <w:sz w:val="24"/>
          <w:szCs w:val="24"/>
        </w:rPr>
      </w:pPr>
      <w:hyperlink r:id="rId12" w:history="1">
        <w:r w:rsidR="00D40FB5">
          <w:rPr>
            <w:rStyle w:val="Hyperlink"/>
            <w:rFonts w:ascii="Arial" w:hAnsi="Arial" w:cs="Arial"/>
            <w:sz w:val="24"/>
            <w:szCs w:val="24"/>
          </w:rPr>
          <w:t>www.medical-media-consulting.at</w:t>
        </w:r>
      </w:hyperlink>
    </w:p>
    <w:p w:rsidR="00D40FB5" w:rsidRDefault="00D40FB5" w:rsidP="00D40FB5">
      <w:pPr>
        <w:rPr>
          <w:rFonts w:ascii="Arial" w:hAnsi="Arial" w:cs="Arial"/>
        </w:rPr>
      </w:pPr>
    </w:p>
    <w:p w:rsidR="00D40FB5" w:rsidRDefault="00D40FB5" w:rsidP="00D40F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November 2022</w:t>
      </w:r>
    </w:p>
    <w:p w:rsidR="00D40FB5" w:rsidRDefault="00D40FB5" w:rsidP="00D40FB5">
      <w:pPr>
        <w:autoSpaceDE w:val="0"/>
        <w:autoSpaceDN w:val="0"/>
        <w:rPr>
          <w:rFonts w:ascii="Arial" w:hAnsi="Arial" w:cs="Arial"/>
          <w:sz w:val="28"/>
          <w:szCs w:val="28"/>
          <w:u w:val="single"/>
        </w:rPr>
      </w:pPr>
    </w:p>
    <w:sectPr w:rsidR="00D40FB5" w:rsidSect="009B5D0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22 Mackinac Pro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D40FB5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D26F7"/>
    <w:rsid w:val="000E294C"/>
    <w:rsid w:val="00104B35"/>
    <w:rsid w:val="0010501C"/>
    <w:rsid w:val="0012710C"/>
    <w:rsid w:val="001608E0"/>
    <w:rsid w:val="0017648A"/>
    <w:rsid w:val="00183E81"/>
    <w:rsid w:val="00192E62"/>
    <w:rsid w:val="001A635B"/>
    <w:rsid w:val="001A68EC"/>
    <w:rsid w:val="001C3F96"/>
    <w:rsid w:val="001C7A23"/>
    <w:rsid w:val="001E6C3E"/>
    <w:rsid w:val="00206CDC"/>
    <w:rsid w:val="00222333"/>
    <w:rsid w:val="00222B45"/>
    <w:rsid w:val="00226006"/>
    <w:rsid w:val="00234089"/>
    <w:rsid w:val="002366E6"/>
    <w:rsid w:val="00242C32"/>
    <w:rsid w:val="00243FCB"/>
    <w:rsid w:val="00246349"/>
    <w:rsid w:val="00255F02"/>
    <w:rsid w:val="00273FA9"/>
    <w:rsid w:val="00295E70"/>
    <w:rsid w:val="002A246F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E09E6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22CD"/>
    <w:rsid w:val="00C3088F"/>
    <w:rsid w:val="00C54653"/>
    <w:rsid w:val="00C66792"/>
    <w:rsid w:val="00C818D1"/>
    <w:rsid w:val="00C9464B"/>
    <w:rsid w:val="00C97589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0FB5"/>
    <w:rsid w:val="00D4588B"/>
    <w:rsid w:val="00D51721"/>
    <w:rsid w:val="00D60ECD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E02792"/>
    <w:rsid w:val="00E5327B"/>
    <w:rsid w:val="00E561B2"/>
    <w:rsid w:val="00E66FA6"/>
    <w:rsid w:val="00E71D9A"/>
    <w:rsid w:val="00E7784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0FB5"/>
    <w:pPr>
      <w:spacing w:after="120" w:line="312" w:lineRule="auto"/>
    </w:pPr>
    <w:rPr>
      <w:rFonts w:ascii="Calibri" w:eastAsiaTheme="minorHAnsi" w:hAnsi="Calibri" w:cs="Calibri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0FB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40FB5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FB5"/>
    <w:rPr>
      <w:rFonts w:ascii="Calibri" w:eastAsiaTheme="minorHAnsi" w:hAnsi="Calibri" w:cs="Calibri"/>
      <w:sz w:val="22"/>
      <w:szCs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40FB5"/>
    <w:pPr>
      <w:spacing w:before="60" w:after="60" w:line="240" w:lineRule="auto"/>
      <w:ind w:left="228" w:hanging="228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40FB5"/>
    <w:rPr>
      <w:rFonts w:ascii="Arial" w:eastAsiaTheme="minorHAnsi" w:hAnsi="Arial" w:cs="Arial"/>
      <w:lang w:val="de-DE" w:eastAsia="de-DE"/>
    </w:rPr>
  </w:style>
  <w:style w:type="character" w:customStyle="1" w:styleId="A8">
    <w:name w:val="A8"/>
    <w:basedOn w:val="Absatz-Standardschriftart"/>
    <w:uiPriority w:val="99"/>
    <w:rsid w:val="00D40FB5"/>
    <w:rPr>
      <w:rFonts w:ascii="P22 Mackinac Pro Medium" w:hAnsi="P22 Mackinac Pro Medium" w:hint="default"/>
      <w:i/>
      <w:iCs/>
      <w:color w:val="000000"/>
    </w:rPr>
  </w:style>
  <w:style w:type="paragraph" w:styleId="Sprechblasentext">
    <w:name w:val="Balloon Text"/>
    <w:basedOn w:val="Standard"/>
    <w:link w:val="SprechblasentextZchn"/>
    <w:rsid w:val="00D4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0FB5"/>
    <w:rPr>
      <w:rFonts w:ascii="Tahoma" w:eastAsiaTheme="minorHAnsi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egrazie.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8E87E.9CE66DA0" TargetMode="External"/><Relationship Id="rId12" Type="http://schemas.openxmlformats.org/officeDocument/2006/relationships/hyperlink" Target="http://www.medical-media-consulti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harald.schenk@medical-media-consulting.at" TargetMode="External"/><Relationship Id="rId5" Type="http://schemas.openxmlformats.org/officeDocument/2006/relationships/image" Target="cid:image001.png@01D8E87E.9CE66DA0" TargetMode="External"/><Relationship Id="rId10" Type="http://schemas.openxmlformats.org/officeDocument/2006/relationships/hyperlink" Target="mailto:barbara.urban@medical-media-consulting.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streaming.at/fgoe-20221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4111</Characters>
  <Application>Microsoft Office Word</Application>
  <DocSecurity>0</DocSecurity>
  <Lines>34</Lines>
  <Paragraphs>9</Paragraphs>
  <ScaleCrop>false</ScaleCrop>
  <Company>TU Wien - Studentenversion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dcterms:created xsi:type="dcterms:W3CDTF">2022-10-30T16:20:00Z</dcterms:created>
  <dcterms:modified xsi:type="dcterms:W3CDTF">2022-10-30T16:43:00Z</dcterms:modified>
</cp:coreProperties>
</file>