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987" w:rsidRPr="00233B41" w:rsidRDefault="00E66987" w:rsidP="009F48D0">
      <w:pPr>
        <w:autoSpaceDE w:val="0"/>
        <w:autoSpaceDN w:val="0"/>
        <w:adjustRightInd w:val="0"/>
        <w:rPr>
          <w:b/>
          <w:lang w:val="de-AT"/>
        </w:rPr>
      </w:pPr>
      <w:r w:rsidRPr="00233B41">
        <w:rPr>
          <w:b/>
          <w:lang w:val="de-AT"/>
        </w:rPr>
        <w:t>Univ.-Prof. Dr. Heinrich Resch</w:t>
      </w:r>
    </w:p>
    <w:p w:rsidR="00E66987" w:rsidRPr="00233B41" w:rsidRDefault="00E66987" w:rsidP="009F48D0">
      <w:pPr>
        <w:autoSpaceDE w:val="0"/>
        <w:autoSpaceDN w:val="0"/>
        <w:adjustRightInd w:val="0"/>
        <w:rPr>
          <w:lang w:val="de-AT"/>
        </w:rPr>
      </w:pPr>
      <w:r w:rsidRPr="00233B41">
        <w:rPr>
          <w:lang w:val="de-AT"/>
        </w:rPr>
        <w:t>2. Medizinische Abteilung Krankenhaus der Barmherzigen Schwestern, Wien</w:t>
      </w:r>
    </w:p>
    <w:p w:rsidR="00E66987" w:rsidRPr="00233B41" w:rsidRDefault="00E66987" w:rsidP="006458CB">
      <w:pPr>
        <w:jc w:val="center"/>
        <w:rPr>
          <w:b/>
          <w:lang w:val="de-AT"/>
        </w:rPr>
      </w:pPr>
    </w:p>
    <w:p w:rsidR="00E66987" w:rsidRPr="00233B41" w:rsidRDefault="00E66987" w:rsidP="009F48D0">
      <w:pPr>
        <w:autoSpaceDE w:val="0"/>
        <w:autoSpaceDN w:val="0"/>
        <w:adjustRightInd w:val="0"/>
        <w:spacing w:before="480"/>
        <w:rPr>
          <w:b/>
          <w:sz w:val="28"/>
          <w:lang w:val="de-AT"/>
        </w:rPr>
      </w:pPr>
      <w:r w:rsidRPr="00233B41">
        <w:rPr>
          <w:b/>
          <w:sz w:val="28"/>
          <w:lang w:val="de-AT"/>
        </w:rPr>
        <w:t>Die medikamentöse Therapie der Osteoporose – eine rasante Entwicklung</w:t>
      </w:r>
    </w:p>
    <w:p w:rsidR="00E66987" w:rsidRPr="00233B41" w:rsidRDefault="00E66987" w:rsidP="009F48D0">
      <w:pPr>
        <w:jc w:val="center"/>
        <w:rPr>
          <w:sz w:val="22"/>
          <w:lang w:val="de-AT"/>
        </w:rPr>
      </w:pPr>
    </w:p>
    <w:p w:rsidR="00E66987" w:rsidRPr="00233B41" w:rsidRDefault="00E66987" w:rsidP="00161D39">
      <w:pPr>
        <w:pStyle w:val="berschrift1"/>
        <w:spacing w:before="360" w:beforeAutospacing="0" w:after="120" w:afterAutospacing="0"/>
        <w:rPr>
          <w:sz w:val="28"/>
          <w:lang w:val="de-AT"/>
        </w:rPr>
      </w:pPr>
      <w:r w:rsidRPr="00233B41">
        <w:rPr>
          <w:sz w:val="28"/>
          <w:lang w:val="de-AT"/>
        </w:rPr>
        <w:t>Was ist Osteoporose – kurze Begriffsdefinition</w:t>
      </w:r>
    </w:p>
    <w:p w:rsidR="00E66987" w:rsidRPr="00233B41" w:rsidRDefault="00E66987" w:rsidP="00161D39">
      <w:pPr>
        <w:spacing w:after="120"/>
        <w:rPr>
          <w:sz w:val="22"/>
          <w:lang w:val="de-AT"/>
        </w:rPr>
      </w:pPr>
      <w:r w:rsidRPr="00233B41">
        <w:rPr>
          <w:sz w:val="22"/>
          <w:lang w:val="de-AT"/>
        </w:rPr>
        <w:t xml:space="preserve">Osteoporose ist eine Störung im </w:t>
      </w:r>
      <w:hyperlink r:id="rId7" w:history="1">
        <w:r w:rsidRPr="00233B41">
          <w:rPr>
            <w:rStyle w:val="Hyperlink"/>
            <w:color w:val="auto"/>
            <w:sz w:val="22"/>
            <w:u w:val="none"/>
            <w:lang w:val="de-AT"/>
          </w:rPr>
          <w:t>Knochenstoffwechsel</w:t>
        </w:r>
      </w:hyperlink>
      <w:r w:rsidRPr="00233B41">
        <w:rPr>
          <w:sz w:val="22"/>
          <w:lang w:val="de-AT"/>
        </w:rPr>
        <w:t xml:space="preserve">, durch die es zu einem Verlust von Knochenmasse kommt. </w:t>
      </w:r>
    </w:p>
    <w:p w:rsidR="00E66987" w:rsidRPr="00233B41" w:rsidRDefault="00E66987" w:rsidP="00161D39">
      <w:pPr>
        <w:spacing w:after="120"/>
        <w:rPr>
          <w:sz w:val="22"/>
          <w:lang w:val="de-AT"/>
        </w:rPr>
      </w:pPr>
      <w:r w:rsidRPr="00233B41">
        <w:rPr>
          <w:sz w:val="22"/>
          <w:lang w:val="de-AT"/>
        </w:rPr>
        <w:t>Langsamer Knochenschwund nach dem 35. Lebensjahr ist eine normale, also physiologische, Erscheinung. Bei der Osteoporose aber ist dieser Abbauprozess besonders deutlich ausgeprägt. Durch ein Ungleichgewicht zwischen den knochenaufbauenden Zellen (</w:t>
      </w:r>
      <w:proofErr w:type="spellStart"/>
      <w:r w:rsidRPr="00233B41">
        <w:rPr>
          <w:sz w:val="22"/>
          <w:lang w:val="de-AT"/>
        </w:rPr>
        <w:t>Osteoblasten</w:t>
      </w:r>
      <w:proofErr w:type="spellEnd"/>
      <w:r w:rsidRPr="00233B41">
        <w:rPr>
          <w:sz w:val="22"/>
          <w:lang w:val="de-AT"/>
        </w:rPr>
        <w:t>) und knochenabbauenden Zellen (</w:t>
      </w:r>
      <w:proofErr w:type="spellStart"/>
      <w:r w:rsidRPr="00233B41">
        <w:rPr>
          <w:sz w:val="22"/>
          <w:lang w:val="de-AT"/>
        </w:rPr>
        <w:t>Osteoklasten</w:t>
      </w:r>
      <w:proofErr w:type="spellEnd"/>
      <w:r w:rsidRPr="00233B41">
        <w:rPr>
          <w:sz w:val="22"/>
          <w:lang w:val="de-AT"/>
        </w:rPr>
        <w:t>) entstehen Störungen der Mikroarchitektur des Knochengewebes, man spricht von Osteoporose. Die Folgen: erhöhte Knochenbrüchigkeit, steigendes Frakturrisiko.</w:t>
      </w:r>
    </w:p>
    <w:p w:rsidR="00E66987" w:rsidRPr="00233B41" w:rsidRDefault="00E66987" w:rsidP="00161D39">
      <w:pPr>
        <w:spacing w:after="120"/>
        <w:rPr>
          <w:sz w:val="22"/>
          <w:lang w:val="de-AT"/>
        </w:rPr>
      </w:pPr>
      <w:r w:rsidRPr="00233B41">
        <w:rPr>
          <w:sz w:val="22"/>
          <w:lang w:val="de-AT"/>
        </w:rPr>
        <w:t>Der Knochenschwund ist eine Erkrankung des gesamten Skeletts. Durch die Verminderung der Knochenmasse (= „Knochendichte“ oder „</w:t>
      </w:r>
      <w:proofErr w:type="spellStart"/>
      <w:r w:rsidRPr="00233B41">
        <w:rPr>
          <w:sz w:val="22"/>
          <w:lang w:val="de-AT"/>
        </w:rPr>
        <w:t>Bone</w:t>
      </w:r>
      <w:proofErr w:type="spellEnd"/>
      <w:r w:rsidRPr="00233B41">
        <w:rPr>
          <w:sz w:val="22"/>
          <w:lang w:val="de-AT"/>
        </w:rPr>
        <w:t xml:space="preserve"> Mineral </w:t>
      </w:r>
      <w:proofErr w:type="spellStart"/>
      <w:r w:rsidRPr="00233B41">
        <w:rPr>
          <w:sz w:val="22"/>
          <w:lang w:val="de-AT"/>
        </w:rPr>
        <w:t>Density</w:t>
      </w:r>
      <w:proofErr w:type="spellEnd"/>
      <w:r w:rsidRPr="00233B41">
        <w:rPr>
          <w:sz w:val="22"/>
          <w:lang w:val="de-AT"/>
        </w:rPr>
        <w:t xml:space="preserve">“, BMD) und Störungen der Mikroarchitektur der Knochenbälkchen kann die Knochenmasse im schlimmsten Fall um bis zu 10% jährlich abnehmen. Durch den Verlust von Stabilität (Festigkeit) und Elastizität nimmt die Brüchigkeit der Knochen zu. Dadurch steigt das Risiko, einen Knochenbruch – sogar ohne Sturz – zu erleiden. Ein starker Hustenanfall oder eine schnelle, heftige Bewegung können bei ausgeprägter Osteoporose bereits zur Fraktur führen. </w:t>
      </w:r>
    </w:p>
    <w:p w:rsidR="00E66987" w:rsidRPr="00233B41" w:rsidRDefault="00E66987" w:rsidP="00161D39">
      <w:pPr>
        <w:spacing w:after="120"/>
        <w:rPr>
          <w:sz w:val="22"/>
          <w:lang w:val="de-AT"/>
        </w:rPr>
      </w:pPr>
      <w:r w:rsidRPr="00233B41">
        <w:rPr>
          <w:sz w:val="22"/>
          <w:lang w:val="de-AT"/>
        </w:rPr>
        <w:t>Die schwerwiegendsten Folgen dieser Skeletterkrankung sind Hüft- und Oberschenkelhalsbrüche, gefolgt von Rippen-, Wirbel- und Unterarmbrüchen.</w:t>
      </w:r>
    </w:p>
    <w:p w:rsidR="00E66987" w:rsidRPr="00233B41" w:rsidRDefault="00E66987" w:rsidP="00161D39">
      <w:pPr>
        <w:pStyle w:val="berschrift1"/>
        <w:spacing w:before="360" w:beforeAutospacing="0" w:after="120" w:afterAutospacing="0"/>
        <w:rPr>
          <w:sz w:val="28"/>
          <w:lang w:val="de-AT"/>
        </w:rPr>
      </w:pPr>
      <w:r w:rsidRPr="00233B41">
        <w:rPr>
          <w:sz w:val="28"/>
          <w:lang w:val="de-AT"/>
        </w:rPr>
        <w:t>Der Knochenstoffwechsel</w:t>
      </w:r>
    </w:p>
    <w:p w:rsidR="00E66987" w:rsidRPr="00233B41" w:rsidRDefault="00E66987" w:rsidP="009A21AD">
      <w:pPr>
        <w:pStyle w:val="StandardWeb"/>
        <w:spacing w:before="360" w:beforeAutospacing="0" w:after="120" w:afterAutospacing="0"/>
        <w:rPr>
          <w:rStyle w:val="normtextstress"/>
          <w:rFonts w:ascii="Arial" w:hAnsi="Arial"/>
          <w:b/>
          <w:lang w:val="de-AT"/>
        </w:rPr>
      </w:pPr>
      <w:bookmarkStart w:id="0" w:name="allg"/>
      <w:bookmarkEnd w:id="0"/>
      <w:r w:rsidRPr="00233B41">
        <w:rPr>
          <w:rStyle w:val="normtextstress"/>
          <w:rFonts w:ascii="Arial" w:hAnsi="Arial"/>
          <w:b/>
          <w:lang w:val="de-AT"/>
        </w:rPr>
        <w:t>Alle 8 bis 10 Jahre ein neues Skelett</w:t>
      </w:r>
    </w:p>
    <w:p w:rsidR="00E66987" w:rsidRPr="00233B41" w:rsidRDefault="00E66987" w:rsidP="002C1594">
      <w:pPr>
        <w:pStyle w:val="StandardWeb"/>
        <w:spacing w:before="0" w:beforeAutospacing="0" w:after="120" w:afterAutospacing="0"/>
        <w:rPr>
          <w:rFonts w:ascii="Arial" w:hAnsi="Arial"/>
          <w:sz w:val="22"/>
          <w:lang w:val="de-AT"/>
        </w:rPr>
      </w:pPr>
      <w:r w:rsidRPr="00233B41">
        <w:rPr>
          <w:rFonts w:ascii="Arial" w:hAnsi="Arial"/>
          <w:sz w:val="22"/>
          <w:lang w:val="de-AT"/>
        </w:rPr>
        <w:t>Der „Knochenstoffwechsel“ ist ein komplexer Vorgang und eine Vielzahl von Faktoren spielen dabei eine Rolle: Die Knochen befinden sich in einem ständigen Umbauprozess. Beim gesunden Knochen herrscht zwischen der Aktivität von knochenaufbauenden Zellen (</w:t>
      </w:r>
      <w:proofErr w:type="spellStart"/>
      <w:r w:rsidRPr="00233B41">
        <w:rPr>
          <w:rFonts w:ascii="Arial" w:hAnsi="Arial"/>
          <w:sz w:val="22"/>
          <w:lang w:val="de-AT"/>
        </w:rPr>
        <w:t>Osteoblasten</w:t>
      </w:r>
      <w:proofErr w:type="spellEnd"/>
      <w:r w:rsidRPr="00233B41">
        <w:rPr>
          <w:rFonts w:ascii="Arial" w:hAnsi="Arial"/>
          <w:sz w:val="22"/>
          <w:lang w:val="de-AT"/>
        </w:rPr>
        <w:t>) und knochenabbauenden Zellen (</w:t>
      </w:r>
      <w:proofErr w:type="spellStart"/>
      <w:r w:rsidRPr="00233B41">
        <w:rPr>
          <w:rFonts w:ascii="Arial" w:hAnsi="Arial"/>
          <w:sz w:val="22"/>
          <w:lang w:val="de-AT"/>
        </w:rPr>
        <w:t>Osteoklasten</w:t>
      </w:r>
      <w:proofErr w:type="spellEnd"/>
      <w:r>
        <w:rPr>
          <w:rFonts w:ascii="Arial" w:hAnsi="Arial"/>
          <w:sz w:val="22"/>
          <w:lang w:val="de-AT"/>
        </w:rPr>
        <w:t>) ein</w:t>
      </w:r>
      <w:r w:rsidRPr="00233B41">
        <w:rPr>
          <w:rFonts w:ascii="Arial" w:hAnsi="Arial"/>
          <w:sz w:val="22"/>
          <w:lang w:val="de-AT"/>
        </w:rPr>
        <w:t xml:space="preserve"> Gleichgewicht. </w:t>
      </w:r>
      <w:r w:rsidRPr="00233B41">
        <w:rPr>
          <w:rFonts w:ascii="Arial" w:hAnsi="Arial" w:cs="Arial"/>
          <w:sz w:val="22"/>
          <w:szCs w:val="20"/>
          <w:lang w:val="de-AT"/>
        </w:rPr>
        <w:t>Die</w:t>
      </w:r>
      <w:r w:rsidRPr="00233B41">
        <w:rPr>
          <w:rFonts w:ascii="Arial" w:hAnsi="Arial"/>
          <w:sz w:val="22"/>
          <w:lang w:val="de-AT"/>
        </w:rPr>
        <w:t xml:space="preserve"> Balance</w:t>
      </w:r>
      <w:r w:rsidRPr="00233B41">
        <w:rPr>
          <w:lang w:val="de-AT"/>
        </w:rPr>
        <w:t xml:space="preserve"> </w:t>
      </w:r>
      <w:r w:rsidRPr="00233B41">
        <w:rPr>
          <w:rFonts w:ascii="Arial" w:hAnsi="Arial" w:cs="Arial"/>
          <w:sz w:val="22"/>
          <w:szCs w:val="20"/>
          <w:lang w:val="de-AT"/>
        </w:rPr>
        <w:t>dieses funktionellen Zusammenhangs</w:t>
      </w:r>
      <w:r w:rsidRPr="00233B41">
        <w:rPr>
          <w:rFonts w:ascii="Arial" w:hAnsi="Arial"/>
          <w:sz w:val="22"/>
          <w:lang w:val="de-AT"/>
        </w:rPr>
        <w:t xml:space="preserve"> wird durch ein fein abgestimmtes Kommunikationssystem zwischen Aufbau und Abbau („</w:t>
      </w:r>
      <w:proofErr w:type="spellStart"/>
      <w:r w:rsidRPr="00233B41">
        <w:rPr>
          <w:rFonts w:ascii="Arial" w:hAnsi="Arial"/>
          <w:sz w:val="22"/>
          <w:lang w:val="de-AT"/>
        </w:rPr>
        <w:t>coupling</w:t>
      </w:r>
      <w:proofErr w:type="spellEnd"/>
      <w:r w:rsidRPr="00233B41">
        <w:rPr>
          <w:rFonts w:ascii="Arial" w:hAnsi="Arial" w:cs="Arial"/>
          <w:sz w:val="22"/>
          <w:szCs w:val="20"/>
          <w:lang w:val="de-AT"/>
        </w:rPr>
        <w:t>“)</w:t>
      </w:r>
      <w:r w:rsidRPr="00233B41">
        <w:rPr>
          <w:rFonts w:ascii="Arial" w:hAnsi="Arial"/>
          <w:sz w:val="22"/>
          <w:lang w:val="de-AT"/>
        </w:rPr>
        <w:t xml:space="preserve"> gewährleistet. Innerhalb von 8 bis 10 Jahren wird das gesamte Skelett einmal erneuert. </w:t>
      </w:r>
    </w:p>
    <w:p w:rsidR="00E66987" w:rsidRPr="00233B41" w:rsidRDefault="00E66987" w:rsidP="00161D39">
      <w:pPr>
        <w:pStyle w:val="StandardWeb"/>
        <w:spacing w:before="0" w:beforeAutospacing="0" w:after="120" w:afterAutospacing="0"/>
        <w:rPr>
          <w:rFonts w:ascii="Arial" w:hAnsi="Arial"/>
          <w:sz w:val="22"/>
          <w:lang w:val="de-AT"/>
        </w:rPr>
      </w:pPr>
      <w:r w:rsidRPr="00233B41">
        <w:rPr>
          <w:rFonts w:ascii="Arial" w:hAnsi="Arial"/>
          <w:sz w:val="22"/>
          <w:lang w:val="de-AT"/>
        </w:rPr>
        <w:t xml:space="preserve">Vitamin D, Kalzium, Phosphat, Magnesium, verschiedene Hormone (wie </w:t>
      </w:r>
      <w:proofErr w:type="spellStart"/>
      <w:r w:rsidRPr="00233B41">
        <w:rPr>
          <w:rFonts w:ascii="Arial" w:hAnsi="Arial"/>
          <w:sz w:val="22"/>
          <w:lang w:val="de-AT"/>
        </w:rPr>
        <w:t>Calcitonin</w:t>
      </w:r>
      <w:proofErr w:type="spellEnd"/>
      <w:r w:rsidRPr="00233B41">
        <w:rPr>
          <w:rFonts w:ascii="Arial" w:hAnsi="Arial"/>
          <w:sz w:val="22"/>
          <w:lang w:val="de-AT"/>
        </w:rPr>
        <w:t xml:space="preserve">, Östrogene, </w:t>
      </w:r>
      <w:proofErr w:type="spellStart"/>
      <w:r w:rsidRPr="00233B41">
        <w:rPr>
          <w:rFonts w:ascii="Arial" w:hAnsi="Arial"/>
          <w:sz w:val="22"/>
          <w:lang w:val="de-AT"/>
        </w:rPr>
        <w:t>Parathormon</w:t>
      </w:r>
      <w:proofErr w:type="spellEnd"/>
      <w:r w:rsidRPr="00233B41">
        <w:rPr>
          <w:rFonts w:ascii="Arial" w:hAnsi="Arial"/>
          <w:sz w:val="22"/>
          <w:lang w:val="de-AT"/>
        </w:rPr>
        <w:t xml:space="preserve">, Schilddrüsenhormon), ausreichend Bewegung, genug Sonnenschein etc. – all diese Faktoren tragen zu einem gesunden Knochenwachstum bei. </w:t>
      </w:r>
    </w:p>
    <w:p w:rsidR="00E66987" w:rsidRPr="00233B41" w:rsidRDefault="00E66987" w:rsidP="00161D39">
      <w:pPr>
        <w:pStyle w:val="StandardWeb"/>
        <w:spacing w:before="0" w:beforeAutospacing="0" w:after="120" w:afterAutospacing="0"/>
        <w:rPr>
          <w:rFonts w:ascii="Arial" w:hAnsi="Arial"/>
          <w:sz w:val="22"/>
          <w:lang w:val="de-AT"/>
        </w:rPr>
      </w:pPr>
      <w:r w:rsidRPr="00233B41">
        <w:rPr>
          <w:rFonts w:ascii="Arial" w:hAnsi="Arial"/>
          <w:sz w:val="22"/>
          <w:lang w:val="de-AT"/>
        </w:rPr>
        <w:t>Zwischen dem 12. und 16. Lebensjahr kommt es zu einer starken Zunahme der Knochenmasse. Zwischen dem 30. und 40. Lebensjahr erreicht jeder Mensch sein persönliches Maximum an Knochendichte, seine „</w:t>
      </w:r>
      <w:proofErr w:type="spellStart"/>
      <w:r w:rsidRPr="00233B41">
        <w:rPr>
          <w:rFonts w:ascii="Arial" w:hAnsi="Arial"/>
          <w:sz w:val="22"/>
          <w:lang w:val="de-AT"/>
        </w:rPr>
        <w:t>peak</w:t>
      </w:r>
      <w:proofErr w:type="spellEnd"/>
      <w:r w:rsidRPr="00233B41">
        <w:rPr>
          <w:rFonts w:ascii="Arial" w:hAnsi="Arial"/>
          <w:sz w:val="22"/>
          <w:lang w:val="de-AT"/>
        </w:rPr>
        <w:t xml:space="preserve"> </w:t>
      </w:r>
      <w:proofErr w:type="spellStart"/>
      <w:r w:rsidRPr="00233B41">
        <w:rPr>
          <w:rFonts w:ascii="Arial" w:hAnsi="Arial"/>
          <w:sz w:val="22"/>
          <w:lang w:val="de-AT"/>
        </w:rPr>
        <w:t>bone</w:t>
      </w:r>
      <w:proofErr w:type="spellEnd"/>
      <w:r w:rsidRPr="00233B41">
        <w:rPr>
          <w:rFonts w:ascii="Arial" w:hAnsi="Arial"/>
          <w:sz w:val="22"/>
          <w:lang w:val="de-AT"/>
        </w:rPr>
        <w:t xml:space="preserve"> </w:t>
      </w:r>
      <w:proofErr w:type="spellStart"/>
      <w:r w:rsidRPr="00233B41">
        <w:rPr>
          <w:rFonts w:ascii="Arial" w:hAnsi="Arial"/>
          <w:sz w:val="22"/>
          <w:lang w:val="de-AT"/>
        </w:rPr>
        <w:t>mass</w:t>
      </w:r>
      <w:proofErr w:type="spellEnd"/>
      <w:r w:rsidRPr="00233B41">
        <w:rPr>
          <w:rFonts w:ascii="Arial" w:hAnsi="Arial"/>
          <w:sz w:val="22"/>
          <w:lang w:val="de-AT"/>
        </w:rPr>
        <w:t>“ (</w:t>
      </w:r>
      <w:hyperlink r:id="rId8" w:anchor="peakbonemass')" w:history="1">
        <w:r w:rsidRPr="00233B41">
          <w:rPr>
            <w:rFonts w:ascii="Arial" w:hAnsi="Arial"/>
            <w:sz w:val="22"/>
            <w:lang w:val="de-AT"/>
          </w:rPr>
          <w:t xml:space="preserve">maximale </w:t>
        </w:r>
        <w:r w:rsidRPr="00233B41">
          <w:rPr>
            <w:rFonts w:ascii="Arial" w:hAnsi="Arial"/>
            <w:sz w:val="22"/>
            <w:lang w:val="de-AT"/>
          </w:rPr>
          <w:lastRenderedPageBreak/>
          <w:t>Knochenmasse, etwa ab dem 40. Lebensjahr ist eine Abnahme der Knochenmineraldichte im Rahmen des physiologischen Knochenabbaus um etwa 1% pro Jahr normal</w:t>
        </w:r>
      </w:hyperlink>
      <w:r w:rsidRPr="00233B41">
        <w:rPr>
          <w:rFonts w:ascii="Arial" w:hAnsi="Arial"/>
          <w:sz w:val="22"/>
          <w:lang w:val="de-AT"/>
        </w:rPr>
        <w:t xml:space="preserve">). Je höher die in der Jugend erworbene Knochendichte ist, desto geringer ist das Risiko, im Alter </w:t>
      </w:r>
      <w:proofErr w:type="spellStart"/>
      <w:r w:rsidRPr="00233B41">
        <w:rPr>
          <w:rFonts w:ascii="Arial" w:hAnsi="Arial"/>
          <w:sz w:val="22"/>
          <w:lang w:val="de-AT"/>
        </w:rPr>
        <w:t>osteoporotisch</w:t>
      </w:r>
      <w:proofErr w:type="spellEnd"/>
      <w:r w:rsidRPr="00233B41">
        <w:rPr>
          <w:rFonts w:ascii="Arial" w:hAnsi="Arial"/>
          <w:sz w:val="22"/>
          <w:lang w:val="de-AT"/>
        </w:rPr>
        <w:t xml:space="preserve"> bedingte Knochenbrüche zu erleiden!</w:t>
      </w:r>
    </w:p>
    <w:p w:rsidR="00E66987" w:rsidRPr="00233B41" w:rsidRDefault="00E66987" w:rsidP="00161D39">
      <w:pPr>
        <w:spacing w:before="360" w:after="120"/>
        <w:rPr>
          <w:b/>
          <w:lang w:val="de-AT"/>
        </w:rPr>
      </w:pPr>
      <w:bookmarkStart w:id="1" w:name="gesund"/>
      <w:bookmarkEnd w:id="1"/>
      <w:r w:rsidRPr="00233B41">
        <w:rPr>
          <w:rStyle w:val="normtextstress"/>
          <w:b/>
          <w:lang w:val="de-AT"/>
        </w:rPr>
        <w:t>Physiologie des gesunden Knochens</w:t>
      </w:r>
    </w:p>
    <w:p w:rsidR="00E66987" w:rsidRPr="00233B41" w:rsidRDefault="00E66987" w:rsidP="00161D39">
      <w:pPr>
        <w:pStyle w:val="StandardWeb"/>
        <w:spacing w:before="0" w:beforeAutospacing="0" w:after="120" w:afterAutospacing="0"/>
        <w:rPr>
          <w:rFonts w:ascii="Arial" w:hAnsi="Arial"/>
          <w:sz w:val="22"/>
          <w:lang w:val="de-AT"/>
        </w:rPr>
      </w:pPr>
      <w:r w:rsidRPr="00233B41">
        <w:rPr>
          <w:rFonts w:ascii="Arial" w:hAnsi="Arial"/>
          <w:sz w:val="22"/>
          <w:lang w:val="de-AT"/>
        </w:rPr>
        <w:t>Im Knochen der Wirbelkörper lassen sich zwei Hauptstrukturen unterschei</w:t>
      </w:r>
      <w:r>
        <w:rPr>
          <w:rFonts w:ascii="Arial" w:hAnsi="Arial"/>
          <w:sz w:val="22"/>
          <w:lang w:val="de-AT"/>
        </w:rPr>
        <w:t>den: Eine feste Außenhülle aus k</w:t>
      </w:r>
      <w:r w:rsidRPr="00233B41">
        <w:rPr>
          <w:rFonts w:ascii="Arial" w:hAnsi="Arial"/>
          <w:sz w:val="22"/>
          <w:lang w:val="de-AT"/>
        </w:rPr>
        <w:t>orti</w:t>
      </w:r>
      <w:r>
        <w:rPr>
          <w:rFonts w:ascii="Arial" w:hAnsi="Arial"/>
          <w:sz w:val="22"/>
          <w:lang w:val="de-AT"/>
        </w:rPr>
        <w:t>k</w:t>
      </w:r>
      <w:r w:rsidRPr="00233B41">
        <w:rPr>
          <w:rFonts w:ascii="Arial" w:hAnsi="Arial"/>
          <w:sz w:val="22"/>
          <w:lang w:val="de-AT"/>
        </w:rPr>
        <w:t xml:space="preserve">alem Knochen umschließt spongiösen Knochen, der sich bei genauerer Betrachtung als honigwabenähnliches Netzwerk aus horizontalen und vertikalen Trabekeln </w:t>
      </w:r>
      <w:r w:rsidRPr="00233B41">
        <w:rPr>
          <w:rFonts w:ascii="Arial" w:hAnsi="Arial" w:cs="Arial"/>
          <w:sz w:val="22"/>
          <w:szCs w:val="20"/>
          <w:lang w:val="de-AT"/>
        </w:rPr>
        <w:t xml:space="preserve">(Knochenbälkchen) </w:t>
      </w:r>
      <w:r w:rsidRPr="00233B41">
        <w:rPr>
          <w:rFonts w:ascii="Arial" w:hAnsi="Arial"/>
          <w:sz w:val="22"/>
          <w:lang w:val="de-AT"/>
        </w:rPr>
        <w:t xml:space="preserve">darstellt. </w:t>
      </w:r>
    </w:p>
    <w:p w:rsidR="00E66987" w:rsidRPr="00233B41" w:rsidRDefault="00E66987" w:rsidP="00161D39">
      <w:pPr>
        <w:pStyle w:val="StandardWeb"/>
        <w:spacing w:before="0" w:beforeAutospacing="0" w:after="120" w:afterAutospacing="0"/>
        <w:rPr>
          <w:rFonts w:ascii="Arial" w:hAnsi="Arial"/>
          <w:sz w:val="22"/>
          <w:lang w:val="de-AT"/>
        </w:rPr>
      </w:pPr>
      <w:r w:rsidRPr="00233B41">
        <w:rPr>
          <w:rFonts w:ascii="Arial" w:hAnsi="Arial"/>
          <w:sz w:val="22"/>
          <w:lang w:val="de-AT"/>
        </w:rPr>
        <w:t xml:space="preserve">Um den Knochenumbau an einer einzelnen mikroskopisch kleinen Umbauzone einzuleiten, docken </w:t>
      </w:r>
      <w:proofErr w:type="spellStart"/>
      <w:r w:rsidRPr="00233B41">
        <w:rPr>
          <w:rFonts w:ascii="Arial" w:hAnsi="Arial"/>
          <w:sz w:val="22"/>
          <w:lang w:val="de-AT"/>
        </w:rPr>
        <w:t>einkernige</w:t>
      </w:r>
      <w:proofErr w:type="spellEnd"/>
      <w:r w:rsidRPr="00233B41">
        <w:rPr>
          <w:rFonts w:ascii="Arial" w:hAnsi="Arial"/>
          <w:sz w:val="22"/>
          <w:lang w:val="de-AT"/>
        </w:rPr>
        <w:t xml:space="preserve"> </w:t>
      </w:r>
      <w:proofErr w:type="spellStart"/>
      <w:r w:rsidRPr="00233B41">
        <w:rPr>
          <w:rFonts w:ascii="Arial" w:hAnsi="Arial"/>
          <w:sz w:val="22"/>
          <w:lang w:val="de-AT"/>
        </w:rPr>
        <w:t>Osteoklasten</w:t>
      </w:r>
      <w:proofErr w:type="spellEnd"/>
      <w:r w:rsidRPr="00233B41">
        <w:rPr>
          <w:rFonts w:ascii="Arial" w:hAnsi="Arial"/>
          <w:sz w:val="22"/>
          <w:lang w:val="de-AT"/>
        </w:rPr>
        <w:t xml:space="preserve">-Vorläuferzellen an der Knochenoberfläche an. Dort verschmelzen sie zu mehrkernigen Riesenzellen, den </w:t>
      </w:r>
      <w:proofErr w:type="spellStart"/>
      <w:r w:rsidRPr="00233B41">
        <w:rPr>
          <w:rFonts w:ascii="Arial" w:hAnsi="Arial"/>
          <w:sz w:val="22"/>
          <w:lang w:val="de-AT"/>
        </w:rPr>
        <w:t>Osteoklasten</w:t>
      </w:r>
      <w:proofErr w:type="spellEnd"/>
      <w:r w:rsidRPr="00233B41">
        <w:rPr>
          <w:rFonts w:ascii="Arial" w:hAnsi="Arial"/>
          <w:sz w:val="22"/>
          <w:lang w:val="de-AT"/>
        </w:rPr>
        <w:t xml:space="preserve">. </w:t>
      </w:r>
    </w:p>
    <w:p w:rsidR="00E66987" w:rsidRPr="00233B41" w:rsidRDefault="00E66987" w:rsidP="00161D39">
      <w:pPr>
        <w:pStyle w:val="StandardWeb"/>
        <w:spacing w:before="0" w:beforeAutospacing="0" w:after="120" w:afterAutospacing="0"/>
        <w:rPr>
          <w:rFonts w:ascii="Arial" w:hAnsi="Arial"/>
          <w:sz w:val="22"/>
          <w:lang w:val="de-AT"/>
        </w:rPr>
      </w:pPr>
      <w:r w:rsidRPr="00233B41">
        <w:rPr>
          <w:rFonts w:ascii="Arial" w:hAnsi="Arial"/>
          <w:sz w:val="22"/>
          <w:lang w:val="de-AT"/>
        </w:rPr>
        <w:t xml:space="preserve">Die </w:t>
      </w:r>
      <w:proofErr w:type="spellStart"/>
      <w:r w:rsidRPr="00233B41">
        <w:rPr>
          <w:rFonts w:ascii="Arial" w:hAnsi="Arial"/>
          <w:sz w:val="22"/>
          <w:lang w:val="de-AT"/>
        </w:rPr>
        <w:t>Osteoklasten</w:t>
      </w:r>
      <w:proofErr w:type="spellEnd"/>
      <w:r w:rsidRPr="00233B41">
        <w:rPr>
          <w:rFonts w:ascii="Arial" w:hAnsi="Arial"/>
          <w:sz w:val="22"/>
          <w:lang w:val="de-AT"/>
        </w:rPr>
        <w:t xml:space="preserve"> bauen die alte Knochenmasse ab, wodurch eine sogenannte Resorptionslakune entsteht. Dieser Prozess dauert ca. 1 ½ Monate. </w:t>
      </w:r>
    </w:p>
    <w:p w:rsidR="00E66987" w:rsidRPr="00233B41" w:rsidRDefault="00E66987" w:rsidP="00161D39">
      <w:pPr>
        <w:pStyle w:val="StandardWeb"/>
        <w:spacing w:before="0" w:beforeAutospacing="0" w:after="120" w:afterAutospacing="0"/>
        <w:rPr>
          <w:rFonts w:ascii="Arial" w:hAnsi="Arial"/>
          <w:sz w:val="22"/>
          <w:lang w:val="de-AT"/>
        </w:rPr>
      </w:pPr>
      <w:r w:rsidRPr="00233B41">
        <w:rPr>
          <w:rFonts w:ascii="Arial" w:hAnsi="Arial"/>
          <w:sz w:val="22"/>
          <w:lang w:val="de-AT"/>
        </w:rPr>
        <w:t xml:space="preserve">Den </w:t>
      </w:r>
      <w:proofErr w:type="spellStart"/>
      <w:r w:rsidRPr="00233B41">
        <w:rPr>
          <w:rFonts w:ascii="Arial" w:hAnsi="Arial"/>
          <w:sz w:val="22"/>
          <w:lang w:val="de-AT"/>
        </w:rPr>
        <w:t>Osteoklasten</w:t>
      </w:r>
      <w:proofErr w:type="spellEnd"/>
      <w:r w:rsidRPr="00233B41">
        <w:rPr>
          <w:rFonts w:ascii="Arial" w:hAnsi="Arial"/>
          <w:sz w:val="22"/>
          <w:lang w:val="de-AT"/>
        </w:rPr>
        <w:t xml:space="preserve"> folgen aktive </w:t>
      </w:r>
      <w:proofErr w:type="spellStart"/>
      <w:r w:rsidRPr="00233B41">
        <w:rPr>
          <w:rFonts w:ascii="Arial" w:hAnsi="Arial"/>
          <w:sz w:val="22"/>
          <w:lang w:val="de-AT"/>
        </w:rPr>
        <w:t>Osteoblasten</w:t>
      </w:r>
      <w:proofErr w:type="spellEnd"/>
      <w:r w:rsidRPr="00233B41">
        <w:rPr>
          <w:rFonts w:ascii="Arial" w:hAnsi="Arial"/>
          <w:sz w:val="22"/>
          <w:lang w:val="de-AT"/>
        </w:rPr>
        <w:t xml:space="preserve">, welche die Resorptionslakune wieder mit neuer Knochenmasse auffüllen. Dies nimmt ca. 5 Monate in Anspruch, also mehr als 3x so lang wie die Resorptionsphase. </w:t>
      </w:r>
    </w:p>
    <w:p w:rsidR="00E66987" w:rsidRPr="00233B41" w:rsidRDefault="00E66987" w:rsidP="00161D39">
      <w:pPr>
        <w:pStyle w:val="StandardWeb"/>
        <w:spacing w:before="0" w:beforeAutospacing="0" w:after="120" w:afterAutospacing="0"/>
        <w:rPr>
          <w:rFonts w:ascii="Arial" w:hAnsi="Arial"/>
          <w:sz w:val="22"/>
          <w:lang w:val="de-AT"/>
        </w:rPr>
      </w:pPr>
      <w:r w:rsidRPr="00233B41">
        <w:rPr>
          <w:rFonts w:ascii="Arial" w:hAnsi="Arial"/>
          <w:sz w:val="22"/>
          <w:lang w:val="de-AT"/>
        </w:rPr>
        <w:t xml:space="preserve">Am Ende ist die Resorptionslakune wieder vollständig mit neuer Knochenmasse aufgefüllt. </w:t>
      </w:r>
      <w:r w:rsidRPr="00233B41">
        <w:rPr>
          <w:rFonts w:ascii="Arial" w:hAnsi="Arial"/>
          <w:sz w:val="22"/>
          <w:lang w:val="de-AT"/>
        </w:rPr>
        <w:br/>
        <w:t xml:space="preserve">Im gesunden Knochen befinden sich Knochenabbau und Knochenaufbau im Gleichgewicht, alte Knochenmasse wird kontinuierlich durch neue Knochenmasse ersetzt. Durch den ständigen Knochenumbau bleibt die Festigkeit von </w:t>
      </w:r>
      <w:proofErr w:type="spellStart"/>
      <w:r w:rsidRPr="00233B41">
        <w:rPr>
          <w:rFonts w:ascii="Arial" w:hAnsi="Arial"/>
          <w:sz w:val="22"/>
          <w:lang w:val="de-AT"/>
        </w:rPr>
        <w:t>trabekulärem</w:t>
      </w:r>
      <w:proofErr w:type="spellEnd"/>
      <w:r w:rsidRPr="00233B41">
        <w:rPr>
          <w:rFonts w:ascii="Arial" w:hAnsi="Arial"/>
          <w:sz w:val="22"/>
          <w:lang w:val="de-AT"/>
        </w:rPr>
        <w:t xml:space="preserve"> und </w:t>
      </w:r>
      <w:r>
        <w:rPr>
          <w:rFonts w:ascii="Arial" w:hAnsi="Arial"/>
          <w:sz w:val="22"/>
          <w:lang w:val="de-AT"/>
        </w:rPr>
        <w:t>k</w:t>
      </w:r>
      <w:r w:rsidRPr="00233B41">
        <w:rPr>
          <w:rFonts w:ascii="Arial" w:hAnsi="Arial"/>
          <w:sz w:val="22"/>
          <w:lang w:val="de-AT"/>
        </w:rPr>
        <w:t>orti</w:t>
      </w:r>
      <w:r>
        <w:rPr>
          <w:rFonts w:ascii="Arial" w:hAnsi="Arial"/>
          <w:sz w:val="22"/>
          <w:lang w:val="de-AT"/>
        </w:rPr>
        <w:t>k</w:t>
      </w:r>
      <w:r w:rsidRPr="00233B41">
        <w:rPr>
          <w:rFonts w:ascii="Arial" w:hAnsi="Arial"/>
          <w:sz w:val="22"/>
          <w:lang w:val="de-AT"/>
        </w:rPr>
        <w:t>alem Knochen erhalten.</w:t>
      </w:r>
    </w:p>
    <w:p w:rsidR="00E66987" w:rsidRPr="00233B41" w:rsidRDefault="00E66987" w:rsidP="00161D39">
      <w:pPr>
        <w:pStyle w:val="StandardWeb"/>
        <w:spacing w:before="360" w:beforeAutospacing="0" w:after="120" w:afterAutospacing="0"/>
        <w:rPr>
          <w:rFonts w:ascii="Arial" w:hAnsi="Arial"/>
          <w:b/>
          <w:lang w:val="de-AT"/>
        </w:rPr>
      </w:pPr>
      <w:bookmarkStart w:id="2" w:name="osteo"/>
      <w:bookmarkEnd w:id="2"/>
      <w:r w:rsidRPr="00233B41">
        <w:rPr>
          <w:rStyle w:val="normtextstress"/>
          <w:rFonts w:ascii="Arial" w:hAnsi="Arial"/>
          <w:b/>
          <w:lang w:val="de-AT"/>
        </w:rPr>
        <w:t xml:space="preserve">Pathophysiologie des </w:t>
      </w:r>
      <w:proofErr w:type="spellStart"/>
      <w:r w:rsidRPr="00233B41">
        <w:rPr>
          <w:rStyle w:val="normtextstress"/>
          <w:rFonts w:ascii="Arial" w:hAnsi="Arial"/>
          <w:b/>
          <w:lang w:val="de-AT"/>
        </w:rPr>
        <w:t>osteoporotischen</w:t>
      </w:r>
      <w:proofErr w:type="spellEnd"/>
      <w:r w:rsidRPr="00233B41">
        <w:rPr>
          <w:rStyle w:val="normtextstress"/>
          <w:rFonts w:ascii="Arial" w:hAnsi="Arial"/>
          <w:b/>
          <w:lang w:val="de-AT"/>
        </w:rPr>
        <w:t xml:space="preserve"> Knochens</w:t>
      </w:r>
    </w:p>
    <w:p w:rsidR="00E66987" w:rsidRPr="00233B41" w:rsidRDefault="00E66987" w:rsidP="00161D39">
      <w:pPr>
        <w:pStyle w:val="StandardWeb"/>
        <w:spacing w:before="0" w:beforeAutospacing="0" w:after="120" w:afterAutospacing="0"/>
        <w:rPr>
          <w:rFonts w:ascii="Arial" w:hAnsi="Arial"/>
          <w:sz w:val="22"/>
          <w:lang w:val="de-AT"/>
        </w:rPr>
      </w:pPr>
      <w:r w:rsidRPr="00233B41">
        <w:rPr>
          <w:rFonts w:ascii="Arial" w:hAnsi="Arial"/>
          <w:sz w:val="22"/>
          <w:lang w:val="de-AT"/>
        </w:rPr>
        <w:t>Bei Osteoporose ist das Gleichgewicht des Knochenumbaus gestört. Im Falle einer schweren Stammskelett-Osteo</w:t>
      </w:r>
      <w:r>
        <w:rPr>
          <w:rFonts w:ascii="Arial" w:hAnsi="Arial"/>
          <w:sz w:val="22"/>
          <w:lang w:val="de-AT"/>
        </w:rPr>
        <w:t>porose ist im Wirbelkörper der k</w:t>
      </w:r>
      <w:r w:rsidRPr="00233B41">
        <w:rPr>
          <w:rFonts w:ascii="Arial" w:hAnsi="Arial"/>
          <w:sz w:val="22"/>
          <w:lang w:val="de-AT"/>
        </w:rPr>
        <w:t>orti</w:t>
      </w:r>
      <w:r>
        <w:rPr>
          <w:rFonts w:ascii="Arial" w:hAnsi="Arial"/>
          <w:sz w:val="22"/>
          <w:lang w:val="de-AT"/>
        </w:rPr>
        <w:t>k</w:t>
      </w:r>
      <w:r w:rsidRPr="00233B41">
        <w:rPr>
          <w:rFonts w:ascii="Arial" w:hAnsi="Arial"/>
          <w:sz w:val="22"/>
          <w:lang w:val="de-AT"/>
        </w:rPr>
        <w:t xml:space="preserve">ale Knochen dünner als beim Gesunden, im spongiösen Knochen sieht man eine deutliche Abnahme der Trabekelvernetzung. Die </w:t>
      </w:r>
      <w:proofErr w:type="spellStart"/>
      <w:r w:rsidRPr="00233B41">
        <w:rPr>
          <w:rFonts w:ascii="Arial" w:hAnsi="Arial"/>
          <w:sz w:val="22"/>
          <w:lang w:val="de-AT"/>
        </w:rPr>
        <w:t>Trabekel</w:t>
      </w:r>
      <w:proofErr w:type="spellEnd"/>
      <w:r w:rsidRPr="00233B41">
        <w:rPr>
          <w:rFonts w:ascii="Arial" w:hAnsi="Arial"/>
          <w:sz w:val="22"/>
          <w:lang w:val="de-AT"/>
        </w:rPr>
        <w:t xml:space="preserve"> (</w:t>
      </w:r>
      <w:hyperlink r:id="rId9" w:anchor="trabekel')" w:history="1">
        <w:r w:rsidRPr="00233B41">
          <w:rPr>
            <w:rFonts w:ascii="Arial" w:hAnsi="Arial"/>
            <w:sz w:val="22"/>
            <w:lang w:val="de-AT"/>
          </w:rPr>
          <w:t xml:space="preserve">Knochenbälkchen </w:t>
        </w:r>
        <w:proofErr w:type="gramStart"/>
        <w:r w:rsidRPr="00233B41">
          <w:rPr>
            <w:rFonts w:ascii="Arial" w:hAnsi="Arial"/>
            <w:sz w:val="22"/>
            <w:lang w:val="de-AT"/>
          </w:rPr>
          <w:t xml:space="preserve">im </w:t>
        </w:r>
        <w:proofErr w:type="gramEnd"/>
        <w:r w:rsidR="00C41FAB">
          <w:fldChar w:fldCharType="begin"/>
        </w:r>
        <w:r w:rsidR="00C41FAB">
          <w:instrText>HYPERLINK "http://www.osteoporose.co.at/lexikon.html" \l "spongiosa#spongiosa"</w:instrText>
        </w:r>
        <w:r w:rsidR="00C41FAB">
          <w:fldChar w:fldCharType="separate"/>
        </w:r>
        <w:r w:rsidRPr="00233B41">
          <w:rPr>
            <w:rStyle w:val="Hyperlink"/>
            <w:rFonts w:ascii="Arial" w:hAnsi="Arial"/>
            <w:color w:val="auto"/>
            <w:sz w:val="22"/>
            <w:u w:val="none"/>
            <w:lang w:val="de-AT"/>
          </w:rPr>
          <w:t>spongiösen Knochen</w:t>
        </w:r>
        <w:r w:rsidR="00C41FAB">
          <w:fldChar w:fldCharType="end"/>
        </w:r>
        <w:r w:rsidRPr="00233B41">
          <w:rPr>
            <w:rFonts w:ascii="Arial" w:hAnsi="Arial"/>
            <w:sz w:val="22"/>
            <w:lang w:val="de-AT"/>
          </w:rPr>
          <w:t xml:space="preserve">; die Ausrichtung der </w:t>
        </w:r>
        <w:proofErr w:type="spellStart"/>
        <w:r w:rsidRPr="00233B41">
          <w:rPr>
            <w:rFonts w:ascii="Arial" w:hAnsi="Arial"/>
            <w:sz w:val="22"/>
            <w:lang w:val="de-AT"/>
          </w:rPr>
          <w:t>Kno</w:t>
        </w:r>
        <w:r>
          <w:rPr>
            <w:rFonts w:ascii="Arial" w:hAnsi="Arial"/>
            <w:sz w:val="22"/>
            <w:lang w:val="de-AT"/>
          </w:rPr>
          <w:t>chenbälckchen</w:t>
        </w:r>
        <w:proofErr w:type="spellEnd"/>
        <w:r>
          <w:rPr>
            <w:rFonts w:ascii="Arial" w:hAnsi="Arial"/>
            <w:sz w:val="22"/>
            <w:lang w:val="de-AT"/>
          </w:rPr>
          <w:t xml:space="preserve"> erfolgt entsprechend</w:t>
        </w:r>
        <w:r w:rsidRPr="00233B41">
          <w:rPr>
            <w:rFonts w:ascii="Arial" w:hAnsi="Arial"/>
            <w:sz w:val="22"/>
            <w:lang w:val="de-AT"/>
          </w:rPr>
          <w:t xml:space="preserve"> den physikalischen Belastungslinien des Knochens</w:t>
        </w:r>
      </w:hyperlink>
      <w:r w:rsidRPr="00233B41">
        <w:rPr>
          <w:rFonts w:ascii="Arial" w:hAnsi="Arial"/>
          <w:sz w:val="22"/>
          <w:lang w:val="de-AT"/>
        </w:rPr>
        <w:t xml:space="preserve">) sind in Anzahl und Dicke reduziert, einige auch unterbrochen. </w:t>
      </w:r>
    </w:p>
    <w:p w:rsidR="00E66987" w:rsidRPr="00233B41" w:rsidRDefault="00E66987" w:rsidP="00161D39">
      <w:pPr>
        <w:pStyle w:val="StandardWeb"/>
        <w:spacing w:before="0" w:beforeAutospacing="0" w:after="120" w:afterAutospacing="0"/>
        <w:rPr>
          <w:rFonts w:ascii="Arial" w:hAnsi="Arial"/>
          <w:sz w:val="22"/>
          <w:lang w:val="de-AT"/>
        </w:rPr>
      </w:pPr>
      <w:r w:rsidRPr="00233B41">
        <w:rPr>
          <w:rFonts w:ascii="Arial" w:hAnsi="Arial"/>
          <w:sz w:val="22"/>
          <w:lang w:val="de-AT"/>
        </w:rPr>
        <w:t xml:space="preserve">Hoch aktive </w:t>
      </w:r>
      <w:proofErr w:type="spellStart"/>
      <w:r w:rsidRPr="00233B41">
        <w:rPr>
          <w:rFonts w:ascii="Arial" w:hAnsi="Arial"/>
          <w:sz w:val="22"/>
          <w:lang w:val="de-AT"/>
        </w:rPr>
        <w:t>Osteoklasten</w:t>
      </w:r>
      <w:proofErr w:type="spellEnd"/>
      <w:r w:rsidRPr="00233B41">
        <w:rPr>
          <w:rFonts w:ascii="Arial" w:hAnsi="Arial"/>
          <w:sz w:val="22"/>
          <w:lang w:val="de-AT"/>
        </w:rPr>
        <w:t xml:space="preserve"> bauen Knochen ab und bilden besonders tiefe Resorptionslakunen. Einige </w:t>
      </w:r>
      <w:proofErr w:type="spellStart"/>
      <w:r w:rsidRPr="00233B41">
        <w:rPr>
          <w:rFonts w:ascii="Arial" w:hAnsi="Arial"/>
          <w:sz w:val="22"/>
          <w:lang w:val="de-AT"/>
        </w:rPr>
        <w:t>Osteoklasten</w:t>
      </w:r>
      <w:proofErr w:type="spellEnd"/>
      <w:r w:rsidRPr="00233B41">
        <w:rPr>
          <w:rFonts w:ascii="Arial" w:hAnsi="Arial"/>
          <w:sz w:val="22"/>
          <w:lang w:val="de-AT"/>
        </w:rPr>
        <w:t xml:space="preserve">-Verbände graben zu tief, wodurch </w:t>
      </w:r>
      <w:proofErr w:type="spellStart"/>
      <w:r w:rsidRPr="00233B41">
        <w:rPr>
          <w:rFonts w:ascii="Arial" w:hAnsi="Arial"/>
          <w:sz w:val="22"/>
          <w:lang w:val="de-AT"/>
        </w:rPr>
        <w:t>Trabekel</w:t>
      </w:r>
      <w:proofErr w:type="spellEnd"/>
      <w:r w:rsidRPr="00233B41">
        <w:rPr>
          <w:rFonts w:ascii="Arial" w:hAnsi="Arial"/>
          <w:sz w:val="22"/>
          <w:lang w:val="de-AT"/>
        </w:rPr>
        <w:t xml:space="preserve"> unterbrochen werden. Im Gefolge der Knochenresorption bauen zwar auch im </w:t>
      </w:r>
      <w:proofErr w:type="spellStart"/>
      <w:r w:rsidRPr="00233B41">
        <w:rPr>
          <w:rFonts w:ascii="Arial" w:hAnsi="Arial"/>
          <w:sz w:val="22"/>
          <w:lang w:val="de-AT"/>
        </w:rPr>
        <w:t>osteoporotischen</w:t>
      </w:r>
      <w:proofErr w:type="spellEnd"/>
      <w:r w:rsidRPr="00233B41">
        <w:rPr>
          <w:rFonts w:ascii="Arial" w:hAnsi="Arial"/>
          <w:sz w:val="22"/>
          <w:lang w:val="de-AT"/>
        </w:rPr>
        <w:t xml:space="preserve"> Knochen </w:t>
      </w:r>
      <w:proofErr w:type="spellStart"/>
      <w:r w:rsidRPr="00233B41">
        <w:rPr>
          <w:rFonts w:ascii="Arial" w:hAnsi="Arial"/>
          <w:sz w:val="22"/>
          <w:lang w:val="de-AT"/>
        </w:rPr>
        <w:t>Osteoblasten</w:t>
      </w:r>
      <w:proofErr w:type="spellEnd"/>
      <w:r w:rsidRPr="00233B41">
        <w:rPr>
          <w:rFonts w:ascii="Arial" w:hAnsi="Arial"/>
          <w:sz w:val="22"/>
          <w:lang w:val="de-AT"/>
        </w:rPr>
        <w:t xml:space="preserve"> neuen Knochen auf, doch kann am Ende die Resorptionslakune nicht vollständig aufgefüllt werden und unterbrochene </w:t>
      </w:r>
      <w:proofErr w:type="spellStart"/>
      <w:r w:rsidRPr="00233B41">
        <w:rPr>
          <w:rFonts w:ascii="Arial" w:hAnsi="Arial"/>
          <w:sz w:val="22"/>
          <w:lang w:val="de-AT"/>
        </w:rPr>
        <w:t>Trabekel</w:t>
      </w:r>
      <w:proofErr w:type="spellEnd"/>
      <w:r w:rsidRPr="00233B41">
        <w:rPr>
          <w:rFonts w:ascii="Arial" w:hAnsi="Arial"/>
          <w:sz w:val="22"/>
          <w:lang w:val="de-AT"/>
        </w:rPr>
        <w:t xml:space="preserve"> können nicht wieder stabil verbunden werden.</w:t>
      </w:r>
    </w:p>
    <w:p w:rsidR="00E66987" w:rsidRPr="00233B41" w:rsidRDefault="00E66987" w:rsidP="00161D39">
      <w:pPr>
        <w:pStyle w:val="StandardWeb"/>
        <w:spacing w:before="0" w:beforeAutospacing="0" w:after="120" w:afterAutospacing="0"/>
        <w:rPr>
          <w:rFonts w:ascii="Arial" w:hAnsi="Arial"/>
          <w:sz w:val="22"/>
          <w:lang w:val="de-AT"/>
        </w:rPr>
      </w:pPr>
      <w:r w:rsidRPr="00233B41">
        <w:rPr>
          <w:rFonts w:ascii="Arial" w:hAnsi="Arial"/>
          <w:sz w:val="22"/>
          <w:lang w:val="de-AT"/>
        </w:rPr>
        <w:t xml:space="preserve">Als Folge des erhöhten Knochenabbaus sind zahlreiche </w:t>
      </w:r>
      <w:proofErr w:type="spellStart"/>
      <w:r w:rsidRPr="00233B41">
        <w:rPr>
          <w:rFonts w:ascii="Arial" w:hAnsi="Arial"/>
          <w:sz w:val="22"/>
          <w:lang w:val="de-AT"/>
        </w:rPr>
        <w:t>Trabekel</w:t>
      </w:r>
      <w:proofErr w:type="spellEnd"/>
      <w:r w:rsidRPr="00233B41">
        <w:rPr>
          <w:rFonts w:ascii="Arial" w:hAnsi="Arial"/>
          <w:sz w:val="22"/>
          <w:lang w:val="de-AT"/>
        </w:rPr>
        <w:t xml:space="preserve"> der mechanischen Belastung nicht mehr gewachsen. An dieser Stelle besteht ein erhöhtes Risiko für Mikrofrakturen. Die Verschlechterung der </w:t>
      </w:r>
      <w:proofErr w:type="spellStart"/>
      <w:r w:rsidRPr="00233B41">
        <w:rPr>
          <w:rFonts w:ascii="Arial" w:hAnsi="Arial"/>
          <w:sz w:val="22"/>
          <w:lang w:val="de-AT"/>
        </w:rPr>
        <w:t>Trabekel</w:t>
      </w:r>
      <w:proofErr w:type="spellEnd"/>
      <w:r w:rsidRPr="00233B41">
        <w:rPr>
          <w:rFonts w:ascii="Arial" w:hAnsi="Arial"/>
          <w:sz w:val="22"/>
          <w:lang w:val="de-AT"/>
        </w:rPr>
        <w:t xml:space="preserve">-Architektur ist verantwortlich für den enormen Verlust an Knochenstabilität. </w:t>
      </w:r>
    </w:p>
    <w:p w:rsidR="00E66987" w:rsidRPr="00233B41" w:rsidRDefault="00E66987" w:rsidP="00161D39">
      <w:pPr>
        <w:pStyle w:val="StandardWeb"/>
        <w:spacing w:before="0" w:beforeAutospacing="0" w:after="120" w:afterAutospacing="0"/>
        <w:rPr>
          <w:rFonts w:ascii="Arial" w:hAnsi="Arial" w:cs="Arial"/>
          <w:sz w:val="22"/>
          <w:szCs w:val="20"/>
          <w:lang w:val="de-AT"/>
        </w:rPr>
      </w:pPr>
      <w:r w:rsidRPr="00233B41">
        <w:rPr>
          <w:rFonts w:ascii="Arial" w:hAnsi="Arial"/>
          <w:sz w:val="22"/>
          <w:lang w:val="de-AT"/>
        </w:rPr>
        <w:t xml:space="preserve">Zusammenfassend findet sich also beim </w:t>
      </w:r>
      <w:proofErr w:type="spellStart"/>
      <w:r w:rsidRPr="00233B41">
        <w:rPr>
          <w:rFonts w:ascii="Arial" w:hAnsi="Arial"/>
          <w:sz w:val="22"/>
          <w:lang w:val="de-AT"/>
        </w:rPr>
        <w:t>osteoporotischen</w:t>
      </w:r>
      <w:proofErr w:type="spellEnd"/>
      <w:r w:rsidRPr="00233B41">
        <w:rPr>
          <w:rFonts w:ascii="Arial" w:hAnsi="Arial"/>
          <w:sz w:val="22"/>
          <w:lang w:val="de-AT"/>
        </w:rPr>
        <w:t xml:space="preserve"> Knochen im </w:t>
      </w:r>
      <w:r w:rsidRPr="00233B41">
        <w:rPr>
          <w:rFonts w:ascii="Arial" w:hAnsi="Arial" w:cs="Arial"/>
          <w:sz w:val="22"/>
          <w:szCs w:val="20"/>
          <w:lang w:val="de-AT"/>
        </w:rPr>
        <w:t>Vergleich</w:t>
      </w:r>
      <w:r w:rsidRPr="00233B41">
        <w:rPr>
          <w:rFonts w:ascii="Arial" w:hAnsi="Arial"/>
          <w:sz w:val="22"/>
          <w:lang w:val="de-AT"/>
        </w:rPr>
        <w:t xml:space="preserve"> zum gesunden Knochen eine verringerte Trabekeldicke, eine geringere Anzahl der </w:t>
      </w:r>
      <w:proofErr w:type="spellStart"/>
      <w:r w:rsidRPr="00233B41">
        <w:rPr>
          <w:rFonts w:ascii="Arial" w:hAnsi="Arial"/>
          <w:sz w:val="22"/>
          <w:lang w:val="de-AT"/>
        </w:rPr>
        <w:t>Trabekel</w:t>
      </w:r>
      <w:proofErr w:type="spellEnd"/>
      <w:r w:rsidRPr="00233B41">
        <w:rPr>
          <w:rFonts w:ascii="Arial" w:hAnsi="Arial"/>
          <w:sz w:val="22"/>
          <w:lang w:val="de-AT"/>
        </w:rPr>
        <w:t xml:space="preserve"> und ein Verlust ihrer Vernetzung. </w:t>
      </w:r>
    </w:p>
    <w:p w:rsidR="00E66987" w:rsidRPr="00233B41" w:rsidRDefault="00E66987" w:rsidP="00D05A3C">
      <w:pPr>
        <w:pStyle w:val="berschrift1"/>
        <w:spacing w:before="360" w:beforeAutospacing="0" w:after="120" w:afterAutospacing="0"/>
        <w:rPr>
          <w:sz w:val="28"/>
          <w:lang w:val="de-AT"/>
        </w:rPr>
      </w:pPr>
      <w:r w:rsidRPr="00233B41">
        <w:rPr>
          <w:sz w:val="28"/>
          <w:lang w:val="de-AT"/>
        </w:rPr>
        <w:lastRenderedPageBreak/>
        <w:t>Die Entwicklung der medikamentösen Osteoporose-Therapien</w:t>
      </w:r>
    </w:p>
    <w:p w:rsidR="00E66987" w:rsidRPr="00233B41" w:rsidRDefault="00E66987" w:rsidP="00161D39">
      <w:pPr>
        <w:pStyle w:val="berschrift1"/>
        <w:spacing w:before="240" w:beforeAutospacing="0" w:after="120" w:afterAutospacing="0"/>
        <w:rPr>
          <w:sz w:val="24"/>
          <w:lang w:val="de-AT"/>
        </w:rPr>
      </w:pPr>
      <w:r w:rsidRPr="00233B41">
        <w:rPr>
          <w:sz w:val="24"/>
          <w:lang w:val="de-AT"/>
        </w:rPr>
        <w:t>Grundsätzliches</w:t>
      </w:r>
    </w:p>
    <w:p w:rsidR="00E66987" w:rsidRPr="00233B41" w:rsidRDefault="00E66987" w:rsidP="00161D39">
      <w:pPr>
        <w:spacing w:after="120"/>
        <w:rPr>
          <w:sz w:val="22"/>
          <w:lang w:val="de-AT"/>
        </w:rPr>
      </w:pPr>
      <w:r w:rsidRPr="00233B41">
        <w:rPr>
          <w:sz w:val="22"/>
          <w:lang w:val="de-AT"/>
        </w:rPr>
        <w:t xml:space="preserve">Jede Therapiestrategie muss daran gemessen werden, ob sie in der Lage ist, das Frakturrisiko zu senken. Ist es einmal zur manifesten Erkrankung gekommen, so ist in den meisten Fällen nur über eine </w:t>
      </w:r>
      <w:hyperlink r:id="rId10" w:history="1">
        <w:r w:rsidRPr="00233B41">
          <w:rPr>
            <w:rStyle w:val="Hyperlink"/>
            <w:color w:val="auto"/>
            <w:sz w:val="22"/>
            <w:u w:val="none"/>
            <w:lang w:val="de-AT"/>
          </w:rPr>
          <w:t>Behandlung mit Medikamenten</w:t>
        </w:r>
      </w:hyperlink>
      <w:r w:rsidRPr="00233B41">
        <w:rPr>
          <w:sz w:val="22"/>
          <w:lang w:val="de-AT"/>
        </w:rPr>
        <w:t xml:space="preserve"> eine Besserung zu erreichen. Dabei gilt es, entweder den weiteren Knochenabbau zu bremsen oder den Knochenaufbau zu fördern. Dies kann auf verschiedene Arten bewerkstelligt werden. In den letzten Jahren ist die Entwicklung der medikamentösen Therapien gegen Osteoporose rasant vorangeschritten. </w:t>
      </w:r>
    </w:p>
    <w:p w:rsidR="00E66987" w:rsidRPr="00233B41" w:rsidRDefault="00E66987" w:rsidP="00161D39">
      <w:pPr>
        <w:spacing w:before="360" w:after="120"/>
        <w:rPr>
          <w:rStyle w:val="normtextstress"/>
          <w:b/>
          <w:lang w:val="de-AT"/>
        </w:rPr>
      </w:pPr>
      <w:bookmarkStart w:id="3" w:name="kalz"/>
      <w:bookmarkEnd w:id="3"/>
      <w:r w:rsidRPr="00233B41">
        <w:rPr>
          <w:rStyle w:val="normtextstress"/>
          <w:b/>
          <w:lang w:val="de-AT"/>
        </w:rPr>
        <w:t>Kalzium und Vitamin D</w:t>
      </w:r>
    </w:p>
    <w:p w:rsidR="00E66987" w:rsidRPr="00233B41" w:rsidRDefault="00E66987" w:rsidP="00161D39">
      <w:pPr>
        <w:spacing w:after="120"/>
        <w:rPr>
          <w:sz w:val="22"/>
          <w:lang w:val="de-AT"/>
        </w:rPr>
      </w:pPr>
      <w:r w:rsidRPr="00233B41">
        <w:rPr>
          <w:sz w:val="22"/>
          <w:lang w:val="de-AT"/>
        </w:rPr>
        <w:t xml:space="preserve">Eine ausreichende Versorgung mit Kalzium und Vitamin D ist die Basis für jede spezifische medikamentöse </w:t>
      </w:r>
      <w:proofErr w:type="spellStart"/>
      <w:r w:rsidRPr="00233B41">
        <w:rPr>
          <w:sz w:val="22"/>
          <w:lang w:val="de-AT"/>
        </w:rPr>
        <w:t>Osteoporosetherapie</w:t>
      </w:r>
      <w:proofErr w:type="spellEnd"/>
      <w:r w:rsidRPr="00233B41">
        <w:rPr>
          <w:sz w:val="22"/>
          <w:lang w:val="de-AT"/>
        </w:rPr>
        <w:t>. Die empfohlene Dosierung orientiert sich auch an den jeweiligen Ernährungsgewohnheiten und liegt für Kalzium bei 500mg bis 1000mg täglich sowie für Vitamin D3 bei 1000 bis 2000 IE täglich.</w:t>
      </w:r>
    </w:p>
    <w:p w:rsidR="00E66987" w:rsidRPr="00233B41" w:rsidRDefault="00E66987" w:rsidP="00161D39">
      <w:pPr>
        <w:spacing w:after="120"/>
        <w:rPr>
          <w:sz w:val="22"/>
          <w:lang w:val="de-AT"/>
        </w:rPr>
      </w:pPr>
      <w:r w:rsidRPr="00233B41">
        <w:rPr>
          <w:sz w:val="22"/>
          <w:lang w:val="de-AT"/>
        </w:rPr>
        <w:t xml:space="preserve">In den letzten Jahren wurden umfangreiche Studien durchgeführt, </w:t>
      </w:r>
      <w:r>
        <w:rPr>
          <w:sz w:val="22"/>
          <w:lang w:val="de-AT"/>
        </w:rPr>
        <w:t xml:space="preserve">die </w:t>
      </w:r>
      <w:r w:rsidRPr="00233B41">
        <w:rPr>
          <w:sz w:val="22"/>
          <w:lang w:val="de-AT"/>
        </w:rPr>
        <w:t>zu folgenden Ergebnissen kamen:</w:t>
      </w:r>
    </w:p>
    <w:p w:rsidR="00E66987" w:rsidRPr="00233B41" w:rsidRDefault="00E66987" w:rsidP="00161D39">
      <w:pPr>
        <w:spacing w:after="120"/>
        <w:rPr>
          <w:sz w:val="22"/>
          <w:lang w:val="de-AT"/>
        </w:rPr>
      </w:pPr>
      <w:r w:rsidRPr="00233B41">
        <w:rPr>
          <w:sz w:val="22"/>
          <w:lang w:val="de-AT"/>
        </w:rPr>
        <w:t xml:space="preserve">Menschen, die einen mehr oder weniger ausgeprägten Mangel an Kalzium und Vitamin D aufweisen, profitieren in Hinblick auf das Risiko von Knochenbrüchen von der täglichen Einnahme von bis zu 1000 mg Kalzium und der gleichzeitig dazu erfolgenden Einnahme von Vitamin D. </w:t>
      </w:r>
    </w:p>
    <w:p w:rsidR="00E66987" w:rsidRPr="00233B41" w:rsidRDefault="00E66987" w:rsidP="00161D39">
      <w:pPr>
        <w:spacing w:after="120"/>
        <w:rPr>
          <w:sz w:val="22"/>
          <w:lang w:val="de-AT"/>
        </w:rPr>
      </w:pPr>
      <w:r w:rsidRPr="00233B41">
        <w:rPr>
          <w:sz w:val="22"/>
          <w:lang w:val="de-AT"/>
        </w:rPr>
        <w:t xml:space="preserve">Liegt eine manifeste Osteoporose vor (bereits stattgehabte </w:t>
      </w:r>
      <w:proofErr w:type="spellStart"/>
      <w:r w:rsidRPr="00233B41">
        <w:rPr>
          <w:sz w:val="22"/>
          <w:lang w:val="de-AT"/>
        </w:rPr>
        <w:t>osteoporosebedingte</w:t>
      </w:r>
      <w:proofErr w:type="spellEnd"/>
      <w:r w:rsidRPr="00233B41">
        <w:rPr>
          <w:sz w:val="22"/>
          <w:lang w:val="de-AT"/>
        </w:rPr>
        <w:t xml:space="preserve"> Knochenbrüche), so ist eine medikamentöse </w:t>
      </w:r>
      <w:proofErr w:type="spellStart"/>
      <w:r w:rsidRPr="00233B41">
        <w:rPr>
          <w:sz w:val="22"/>
          <w:lang w:val="de-AT"/>
        </w:rPr>
        <w:t>Osteoporosetherapie</w:t>
      </w:r>
      <w:proofErr w:type="spellEnd"/>
      <w:r w:rsidRPr="00233B41">
        <w:rPr>
          <w:sz w:val="22"/>
          <w:lang w:val="de-AT"/>
        </w:rPr>
        <w:t xml:space="preserve"> mit Calcium und Vitamin D allein jedoch nicht ausreichend. </w:t>
      </w:r>
    </w:p>
    <w:p w:rsidR="00E66987" w:rsidRPr="00233B41" w:rsidRDefault="00E66987" w:rsidP="00161D39">
      <w:pPr>
        <w:pStyle w:val="normtextstress1"/>
        <w:spacing w:before="360" w:beforeAutospacing="0" w:after="120" w:afterAutospacing="0"/>
        <w:rPr>
          <w:rFonts w:ascii="Arial" w:hAnsi="Arial"/>
          <w:b/>
          <w:lang w:val="de-AT"/>
        </w:rPr>
      </w:pPr>
      <w:bookmarkStart w:id="4" w:name="knabbhemm"/>
      <w:bookmarkEnd w:id="4"/>
      <w:r w:rsidRPr="00233B41">
        <w:rPr>
          <w:rFonts w:ascii="Arial" w:hAnsi="Arial"/>
          <w:b/>
          <w:lang w:val="de-AT"/>
        </w:rPr>
        <w:t>Die wichtigsten Knochenabbau hemmenden Substanzen (</w:t>
      </w:r>
      <w:proofErr w:type="spellStart"/>
      <w:r w:rsidRPr="00233B41">
        <w:rPr>
          <w:rFonts w:ascii="Arial" w:hAnsi="Arial"/>
          <w:b/>
          <w:lang w:val="de-AT"/>
        </w:rPr>
        <w:t>Antiresorptiva</w:t>
      </w:r>
      <w:proofErr w:type="spellEnd"/>
      <w:r w:rsidRPr="00233B41">
        <w:rPr>
          <w:rFonts w:ascii="Arial" w:hAnsi="Arial"/>
          <w:b/>
          <w:lang w:val="de-AT"/>
        </w:rPr>
        <w:t>)</w:t>
      </w:r>
    </w:p>
    <w:p w:rsidR="00E66987" w:rsidRPr="00233B41" w:rsidRDefault="00E66987" w:rsidP="00161D39">
      <w:pPr>
        <w:pStyle w:val="StandardWeb"/>
        <w:spacing w:before="240" w:beforeAutospacing="0" w:after="120" w:afterAutospacing="0"/>
        <w:rPr>
          <w:rStyle w:val="normtextstress"/>
          <w:rFonts w:ascii="Arial" w:hAnsi="Arial"/>
          <w:b/>
          <w:sz w:val="22"/>
          <w:lang w:val="de-AT"/>
        </w:rPr>
      </w:pPr>
      <w:bookmarkStart w:id="5" w:name="hrt"/>
      <w:bookmarkEnd w:id="5"/>
      <w:r w:rsidRPr="00233B41">
        <w:rPr>
          <w:rStyle w:val="normtextstress"/>
          <w:rFonts w:ascii="Arial" w:hAnsi="Arial"/>
          <w:b/>
          <w:sz w:val="22"/>
          <w:lang w:val="de-AT"/>
        </w:rPr>
        <w:t>Weibliche Sexualhormone (Östrogene / Gestagene)</w:t>
      </w:r>
    </w:p>
    <w:p w:rsidR="00E66987" w:rsidRPr="00233B41" w:rsidRDefault="00E66987" w:rsidP="00161D39">
      <w:pPr>
        <w:pStyle w:val="StandardWeb"/>
        <w:spacing w:before="0" w:beforeAutospacing="0" w:after="120" w:afterAutospacing="0"/>
        <w:rPr>
          <w:rFonts w:ascii="MS Sans serif" w:hAnsi="MS Sans serif"/>
          <w:sz w:val="20"/>
          <w:lang w:val="de-AT"/>
        </w:rPr>
      </w:pPr>
      <w:r w:rsidRPr="00233B41">
        <w:rPr>
          <w:rFonts w:ascii="Arial" w:hAnsi="Arial"/>
          <w:sz w:val="22"/>
          <w:lang w:val="de-AT"/>
        </w:rPr>
        <w:t xml:space="preserve">Östrogene wirken dem Knochenabbau entgegen. Das ist der Grund, warum der nach den </w:t>
      </w:r>
      <w:hyperlink r:id="rId11" w:history="1">
        <w:r w:rsidRPr="00233B41">
          <w:rPr>
            <w:rFonts w:ascii="Arial" w:hAnsi="Arial"/>
            <w:sz w:val="22"/>
            <w:lang w:val="de-AT"/>
          </w:rPr>
          <w:t>Wechseljahren</w:t>
        </w:r>
      </w:hyperlink>
      <w:r w:rsidRPr="00233B41">
        <w:rPr>
          <w:rFonts w:ascii="Arial" w:hAnsi="Arial"/>
          <w:sz w:val="22"/>
          <w:lang w:val="de-AT"/>
        </w:rPr>
        <w:t xml:space="preserve"> erniedrigte Östrogenspiegel das Osteoporose-Risiko erhöht.</w:t>
      </w:r>
      <w:r w:rsidRPr="00233B41">
        <w:rPr>
          <w:rFonts w:ascii="MS Sans serif" w:hAnsi="MS Sans serif"/>
          <w:sz w:val="20"/>
          <w:lang w:val="de-AT"/>
        </w:rPr>
        <w:t xml:space="preserve"> </w:t>
      </w:r>
    </w:p>
    <w:p w:rsidR="00E66987" w:rsidRPr="00233B41" w:rsidRDefault="00E66987" w:rsidP="00161D39">
      <w:pPr>
        <w:pStyle w:val="StandardWeb"/>
        <w:spacing w:before="0" w:beforeAutospacing="0" w:after="120" w:afterAutospacing="0"/>
        <w:rPr>
          <w:rFonts w:ascii="MS Sans serif" w:hAnsi="MS Sans serif"/>
          <w:sz w:val="20"/>
          <w:lang w:val="de-AT"/>
        </w:rPr>
      </w:pPr>
      <w:r w:rsidRPr="00233B41">
        <w:rPr>
          <w:rFonts w:ascii="Arial" w:hAnsi="Arial"/>
          <w:sz w:val="22"/>
          <w:lang w:val="de-AT"/>
        </w:rPr>
        <w:t xml:space="preserve">Östrogene hemmen also die </w:t>
      </w:r>
      <w:proofErr w:type="spellStart"/>
      <w:r w:rsidRPr="00233B41">
        <w:rPr>
          <w:rFonts w:ascii="Arial" w:hAnsi="Arial"/>
          <w:sz w:val="22"/>
          <w:lang w:val="de-AT"/>
        </w:rPr>
        <w:t>Osteoklasten</w:t>
      </w:r>
      <w:proofErr w:type="spellEnd"/>
      <w:r w:rsidRPr="00233B41">
        <w:rPr>
          <w:rFonts w:ascii="Arial" w:hAnsi="Arial"/>
          <w:sz w:val="22"/>
          <w:lang w:val="de-AT"/>
        </w:rPr>
        <w:t xml:space="preserve"> und verringern dadurch das Abnehmen der Knochendichte.</w:t>
      </w:r>
    </w:p>
    <w:p w:rsidR="00E66987" w:rsidRPr="00233B41" w:rsidRDefault="00E66987" w:rsidP="00161D39">
      <w:pPr>
        <w:pStyle w:val="StandardWeb"/>
        <w:spacing w:before="0" w:beforeAutospacing="0" w:after="120" w:afterAutospacing="0"/>
        <w:rPr>
          <w:rFonts w:ascii="Arial" w:hAnsi="Arial"/>
          <w:sz w:val="22"/>
          <w:lang w:val="de-AT"/>
        </w:rPr>
      </w:pPr>
      <w:r w:rsidRPr="00233B41">
        <w:rPr>
          <w:rFonts w:ascii="Arial" w:hAnsi="Arial"/>
          <w:sz w:val="22"/>
          <w:lang w:val="de-AT"/>
        </w:rPr>
        <w:t xml:space="preserve">Im Zuge der HRT (Hormone </w:t>
      </w:r>
      <w:proofErr w:type="spellStart"/>
      <w:r w:rsidRPr="00233B41">
        <w:rPr>
          <w:rFonts w:ascii="Arial" w:hAnsi="Arial"/>
          <w:sz w:val="22"/>
          <w:lang w:val="de-AT"/>
        </w:rPr>
        <w:t>Replacement</w:t>
      </w:r>
      <w:proofErr w:type="spellEnd"/>
      <w:r w:rsidRPr="00233B41">
        <w:rPr>
          <w:rFonts w:ascii="Arial" w:hAnsi="Arial"/>
          <w:sz w:val="22"/>
          <w:lang w:val="de-AT"/>
        </w:rPr>
        <w:t xml:space="preserve"> </w:t>
      </w:r>
      <w:proofErr w:type="spellStart"/>
      <w:r w:rsidRPr="00233B41">
        <w:rPr>
          <w:rFonts w:ascii="Arial" w:hAnsi="Arial"/>
          <w:sz w:val="22"/>
          <w:lang w:val="de-AT"/>
        </w:rPr>
        <w:t>Therapy</w:t>
      </w:r>
      <w:proofErr w:type="spellEnd"/>
      <w:r w:rsidRPr="00233B41">
        <w:rPr>
          <w:rFonts w:ascii="Arial" w:hAnsi="Arial" w:cs="Arial"/>
          <w:sz w:val="22"/>
          <w:szCs w:val="22"/>
          <w:lang w:val="de-AT"/>
        </w:rPr>
        <w:t xml:space="preserve"> – Hormonersatztherapie</w:t>
      </w:r>
      <w:r w:rsidRPr="00233B41">
        <w:rPr>
          <w:rFonts w:ascii="Arial" w:hAnsi="Arial"/>
          <w:sz w:val="22"/>
          <w:lang w:val="de-AT"/>
        </w:rPr>
        <w:t xml:space="preserve">) erfolgt meist eine kontinuierlicher Östrogengabe und </w:t>
      </w:r>
      <w:r w:rsidRPr="00233B41">
        <w:rPr>
          <w:rFonts w:ascii="Arial" w:hAnsi="Arial" w:cs="Arial"/>
          <w:sz w:val="22"/>
          <w:szCs w:val="22"/>
          <w:lang w:val="de-AT"/>
        </w:rPr>
        <w:t>zyklische</w:t>
      </w:r>
      <w:r w:rsidRPr="00233B41">
        <w:rPr>
          <w:rFonts w:ascii="Arial" w:hAnsi="Arial"/>
          <w:sz w:val="22"/>
          <w:lang w:val="de-AT"/>
        </w:rPr>
        <w:t xml:space="preserve"> oder </w:t>
      </w:r>
      <w:r w:rsidRPr="00233B41">
        <w:rPr>
          <w:rFonts w:ascii="Arial" w:hAnsi="Arial" w:cs="Arial"/>
          <w:sz w:val="22"/>
          <w:szCs w:val="22"/>
          <w:lang w:val="de-AT"/>
        </w:rPr>
        <w:t>kontinuierliche</w:t>
      </w:r>
      <w:r w:rsidRPr="00233B41">
        <w:rPr>
          <w:rFonts w:ascii="Arial" w:hAnsi="Arial"/>
          <w:sz w:val="22"/>
          <w:lang w:val="de-AT"/>
        </w:rPr>
        <w:t xml:space="preserve"> </w:t>
      </w:r>
      <w:proofErr w:type="spellStart"/>
      <w:r w:rsidRPr="00233B41">
        <w:rPr>
          <w:rFonts w:ascii="Arial" w:hAnsi="Arial"/>
          <w:sz w:val="22"/>
          <w:lang w:val="de-AT"/>
        </w:rPr>
        <w:t>Gestagengabe</w:t>
      </w:r>
      <w:proofErr w:type="spellEnd"/>
      <w:r w:rsidRPr="00233B41">
        <w:rPr>
          <w:rFonts w:ascii="Arial" w:hAnsi="Arial"/>
          <w:sz w:val="22"/>
          <w:lang w:val="de-AT"/>
        </w:rPr>
        <w:t xml:space="preserve">. </w:t>
      </w:r>
    </w:p>
    <w:p w:rsidR="00E66987" w:rsidRPr="00233B41" w:rsidRDefault="00E66987" w:rsidP="00161D39">
      <w:pPr>
        <w:pStyle w:val="StandardWeb"/>
        <w:spacing w:before="0" w:beforeAutospacing="0" w:after="120" w:afterAutospacing="0"/>
        <w:rPr>
          <w:rFonts w:ascii="Arial" w:hAnsi="Arial"/>
          <w:sz w:val="22"/>
          <w:lang w:val="de-AT"/>
        </w:rPr>
      </w:pPr>
    </w:p>
    <w:p w:rsidR="00E66987" w:rsidRPr="00233B41" w:rsidRDefault="00E66987" w:rsidP="00161D39">
      <w:pPr>
        <w:pStyle w:val="StandardWeb"/>
        <w:spacing w:before="0" w:beforeAutospacing="0" w:after="120" w:afterAutospacing="0"/>
        <w:rPr>
          <w:rFonts w:ascii="Arial" w:hAnsi="Arial"/>
          <w:sz w:val="22"/>
          <w:lang w:val="de-AT"/>
        </w:rPr>
      </w:pPr>
      <w:r w:rsidRPr="00233B41">
        <w:rPr>
          <w:rFonts w:ascii="Arial" w:hAnsi="Arial"/>
          <w:sz w:val="22"/>
          <w:lang w:val="de-AT"/>
        </w:rPr>
        <w:t>An den Knochen haben Östrogene nahezu die gleichen Effekte wie die SERMs</w:t>
      </w:r>
      <w:r w:rsidRPr="00233B41">
        <w:rPr>
          <w:rFonts w:ascii="Arial" w:hAnsi="Arial" w:cs="Arial"/>
          <w:sz w:val="22"/>
          <w:szCs w:val="22"/>
          <w:lang w:val="de-AT"/>
        </w:rPr>
        <w:t xml:space="preserve"> </w:t>
      </w:r>
      <w:r w:rsidRPr="00233B41">
        <w:rPr>
          <w:rFonts w:ascii="Arial" w:hAnsi="Arial"/>
          <w:szCs w:val="22"/>
          <w:lang w:val="de-AT"/>
        </w:rPr>
        <w:t>(</w:t>
      </w:r>
      <w:proofErr w:type="spellStart"/>
      <w:r w:rsidRPr="00233B41">
        <w:rPr>
          <w:rFonts w:ascii="Arial" w:hAnsi="Arial" w:cs="Arial"/>
          <w:sz w:val="22"/>
          <w:szCs w:val="22"/>
          <w:lang w:val="de-AT"/>
        </w:rPr>
        <w:t>Selective</w:t>
      </w:r>
      <w:proofErr w:type="spellEnd"/>
      <w:r w:rsidRPr="00233B41">
        <w:rPr>
          <w:rFonts w:ascii="Arial" w:hAnsi="Arial" w:cs="Arial"/>
          <w:sz w:val="22"/>
          <w:szCs w:val="22"/>
          <w:lang w:val="de-AT"/>
        </w:rPr>
        <w:t xml:space="preserve"> </w:t>
      </w:r>
      <w:proofErr w:type="spellStart"/>
      <w:r w:rsidRPr="00233B41">
        <w:rPr>
          <w:rFonts w:ascii="Arial" w:hAnsi="Arial" w:cs="Arial"/>
          <w:sz w:val="22"/>
          <w:szCs w:val="22"/>
          <w:lang w:val="de-AT"/>
        </w:rPr>
        <w:t>Estrogen</w:t>
      </w:r>
      <w:proofErr w:type="spellEnd"/>
      <w:r w:rsidRPr="00233B41">
        <w:rPr>
          <w:rFonts w:ascii="Arial" w:hAnsi="Arial" w:cs="Arial"/>
          <w:sz w:val="22"/>
          <w:szCs w:val="22"/>
          <w:lang w:val="de-AT"/>
        </w:rPr>
        <w:t xml:space="preserve"> </w:t>
      </w:r>
      <w:proofErr w:type="spellStart"/>
      <w:r w:rsidRPr="00233B41">
        <w:rPr>
          <w:rFonts w:ascii="Arial" w:hAnsi="Arial" w:cs="Arial"/>
          <w:sz w:val="22"/>
          <w:szCs w:val="22"/>
          <w:lang w:val="de-AT"/>
        </w:rPr>
        <w:t>Receptor</w:t>
      </w:r>
      <w:proofErr w:type="spellEnd"/>
      <w:r w:rsidRPr="00233B41">
        <w:rPr>
          <w:rFonts w:ascii="Arial" w:hAnsi="Arial" w:cs="Arial"/>
          <w:sz w:val="22"/>
          <w:szCs w:val="22"/>
          <w:lang w:val="de-AT"/>
        </w:rPr>
        <w:t xml:space="preserve"> Modulators, s.u.).</w:t>
      </w:r>
      <w:r w:rsidRPr="00233B41">
        <w:rPr>
          <w:rFonts w:ascii="Arial" w:hAnsi="Arial"/>
          <w:sz w:val="22"/>
          <w:lang w:val="de-AT"/>
        </w:rPr>
        <w:t xml:space="preserve"> Sie hemmen die </w:t>
      </w:r>
      <w:proofErr w:type="spellStart"/>
      <w:r w:rsidRPr="00233B41">
        <w:rPr>
          <w:rFonts w:ascii="Arial" w:hAnsi="Arial"/>
          <w:sz w:val="22"/>
          <w:lang w:val="de-AT"/>
        </w:rPr>
        <w:t>Osteoklasten</w:t>
      </w:r>
      <w:proofErr w:type="spellEnd"/>
      <w:r w:rsidRPr="00233B41">
        <w:rPr>
          <w:rFonts w:ascii="Arial" w:hAnsi="Arial"/>
          <w:sz w:val="22"/>
          <w:lang w:val="de-AT"/>
        </w:rPr>
        <w:t xml:space="preserve"> und verringern dadurch das Abnehmen der Knochendichte. Studien haben auch ergeben, dass eine Hormonersatztherapie die Häufigkeit von Knochenbrüchen senkt. </w:t>
      </w:r>
    </w:p>
    <w:p w:rsidR="00E66987" w:rsidRPr="00233B41" w:rsidRDefault="00E66987" w:rsidP="00161D39">
      <w:pPr>
        <w:pStyle w:val="StandardWeb"/>
        <w:spacing w:before="0" w:beforeAutospacing="0" w:after="120" w:afterAutospacing="0"/>
        <w:rPr>
          <w:rFonts w:ascii="Arial" w:hAnsi="Arial"/>
          <w:sz w:val="22"/>
          <w:lang w:val="de-AT"/>
        </w:rPr>
      </w:pPr>
      <w:r w:rsidRPr="00233B41">
        <w:rPr>
          <w:rFonts w:ascii="Arial" w:hAnsi="Arial"/>
          <w:sz w:val="22"/>
          <w:lang w:val="de-AT"/>
        </w:rPr>
        <w:t xml:space="preserve">In den klinischen Studien hat sich einheitlich gezeigt, dass eine HRT zu einem Anstieg der Knochenmasse führt und somit die Häufigkeit von Knochenbrüchen senkt. </w:t>
      </w:r>
    </w:p>
    <w:p w:rsidR="00E66987" w:rsidRPr="00233B41" w:rsidRDefault="00E66987" w:rsidP="00086F77">
      <w:pPr>
        <w:pStyle w:val="StandardWeb"/>
        <w:spacing w:before="0" w:beforeAutospacing="0" w:after="120" w:afterAutospacing="0"/>
        <w:rPr>
          <w:rFonts w:ascii="Arial" w:hAnsi="Arial"/>
          <w:sz w:val="22"/>
          <w:lang w:val="de-AT"/>
        </w:rPr>
      </w:pPr>
      <w:r w:rsidRPr="00233B41">
        <w:rPr>
          <w:rFonts w:ascii="Arial" w:hAnsi="Arial"/>
          <w:sz w:val="22"/>
          <w:lang w:val="de-AT"/>
        </w:rPr>
        <w:lastRenderedPageBreak/>
        <w:t xml:space="preserve">Allerdings ist die dauerhafte Behandlung mit Östrogen mit gewissen Risiken – einer Zunahme kardiovaskulärer, </w:t>
      </w:r>
      <w:proofErr w:type="spellStart"/>
      <w:r w:rsidRPr="00233B41">
        <w:rPr>
          <w:rFonts w:ascii="Arial" w:hAnsi="Arial"/>
          <w:sz w:val="22"/>
          <w:lang w:val="de-AT"/>
        </w:rPr>
        <w:t>cerebrovaskulärer</w:t>
      </w:r>
      <w:proofErr w:type="spellEnd"/>
      <w:r w:rsidRPr="00233B41">
        <w:rPr>
          <w:rFonts w:ascii="Arial" w:hAnsi="Arial"/>
          <w:sz w:val="22"/>
          <w:lang w:val="de-AT"/>
        </w:rPr>
        <w:t xml:space="preserve"> und venöser sowie ein erhöhtes Brustkrebsrisiko – behaftet. Risiken, die z.B. die SERM (siehe unten), die ganz ähnlich wie Östrogene wirken, nicht aufweisen. </w:t>
      </w:r>
      <w:proofErr w:type="spellStart"/>
      <w:r w:rsidRPr="00233B41">
        <w:rPr>
          <w:rFonts w:ascii="Arial" w:hAnsi="Arial"/>
          <w:sz w:val="22"/>
          <w:lang w:val="de-AT"/>
        </w:rPr>
        <w:t>Thromboembolische</w:t>
      </w:r>
      <w:proofErr w:type="spellEnd"/>
      <w:r w:rsidRPr="00233B41">
        <w:rPr>
          <w:rFonts w:ascii="Arial" w:hAnsi="Arial"/>
          <w:sz w:val="22"/>
          <w:lang w:val="de-AT"/>
        </w:rPr>
        <w:t xml:space="preserve"> Ereignisse jedoch können sowohl unter Östrogen- als auch unter SERMs-Behandlung auftreten.</w:t>
      </w:r>
    </w:p>
    <w:p w:rsidR="00E66987" w:rsidRPr="00233B41" w:rsidRDefault="00E66987" w:rsidP="00161D39">
      <w:pPr>
        <w:pStyle w:val="StandardWeb"/>
        <w:spacing w:before="0" w:beforeAutospacing="0" w:after="120" w:afterAutospacing="0"/>
        <w:rPr>
          <w:rFonts w:ascii="Arial" w:hAnsi="Arial"/>
          <w:sz w:val="22"/>
          <w:lang w:val="de-AT"/>
        </w:rPr>
      </w:pPr>
      <w:r w:rsidRPr="00233B41">
        <w:rPr>
          <w:rFonts w:ascii="Arial" w:hAnsi="Arial"/>
          <w:sz w:val="22"/>
          <w:lang w:val="de-AT"/>
        </w:rPr>
        <w:t>Daher gilt die Hormonersatztherapie heute nicht mehr als Therapie der ersten Wahl bei Osteoporose. Eine individuelle Nutzen-Risiko-Abwägung einer HRT in der osteologischen Indikation ist im Hinblick auf die anderen gesicherten Therapieoptionen unbedingt erforderlich.</w:t>
      </w:r>
    </w:p>
    <w:p w:rsidR="00E66987" w:rsidRPr="00FA5728" w:rsidRDefault="00E66987" w:rsidP="00161D39">
      <w:pPr>
        <w:spacing w:before="240" w:after="120"/>
        <w:rPr>
          <w:rStyle w:val="normtextstress"/>
          <w:b/>
          <w:sz w:val="22"/>
        </w:rPr>
      </w:pPr>
      <w:bookmarkStart w:id="6" w:name="serms"/>
      <w:bookmarkEnd w:id="6"/>
      <w:r w:rsidRPr="00FA5728">
        <w:rPr>
          <w:rStyle w:val="normtextstress"/>
          <w:b/>
          <w:sz w:val="22"/>
        </w:rPr>
        <w:t>SERM (Selective Estrogen Receptor Modulators)</w:t>
      </w:r>
    </w:p>
    <w:p w:rsidR="00E66987" w:rsidRPr="00233B41" w:rsidRDefault="00E66987" w:rsidP="001E3BC3">
      <w:pPr>
        <w:spacing w:after="120"/>
        <w:rPr>
          <w:sz w:val="22"/>
          <w:lang w:val="de-AT"/>
        </w:rPr>
      </w:pPr>
      <w:r w:rsidRPr="00233B41">
        <w:rPr>
          <w:sz w:val="22"/>
          <w:lang w:val="de-AT"/>
        </w:rPr>
        <w:t xml:space="preserve">SERM steht für selektive Östrogen (engl. </w:t>
      </w:r>
      <w:proofErr w:type="spellStart"/>
      <w:r w:rsidRPr="00233B41">
        <w:rPr>
          <w:sz w:val="22"/>
          <w:lang w:val="de-AT"/>
        </w:rPr>
        <w:t>Estrogen</w:t>
      </w:r>
      <w:proofErr w:type="spellEnd"/>
      <w:r w:rsidRPr="00233B41">
        <w:rPr>
          <w:sz w:val="22"/>
          <w:lang w:val="de-AT"/>
        </w:rPr>
        <w:t>)-Rezeptor-Modulatoren. SERM s</w:t>
      </w:r>
      <w:r w:rsidRPr="00233B41">
        <w:rPr>
          <w:color w:val="000000"/>
          <w:sz w:val="22"/>
          <w:lang w:val="de-AT"/>
        </w:rPr>
        <w:t xml:space="preserve">ind keine Östrogene, Gestagene oder irgendwelche </w:t>
      </w:r>
      <w:r w:rsidRPr="00233B41">
        <w:rPr>
          <w:rFonts w:cs="Arial"/>
          <w:color w:val="000000"/>
          <w:sz w:val="22"/>
          <w:szCs w:val="22"/>
          <w:lang w:val="de-AT"/>
        </w:rPr>
        <w:t>anderen</w:t>
      </w:r>
      <w:r w:rsidRPr="00233B41">
        <w:rPr>
          <w:color w:val="000000"/>
          <w:sz w:val="22"/>
          <w:lang w:val="de-AT"/>
        </w:rPr>
        <w:t xml:space="preserve"> Hormone, binden jedoch an die Östrogenrezeptoren (ER), die sie in unterschiedlicher Weise und je nach Gewebe differenziert zu modulieren vermögen. </w:t>
      </w:r>
      <w:r w:rsidRPr="00233B41">
        <w:rPr>
          <w:rFonts w:cs="Arial"/>
          <w:color w:val="000000"/>
          <w:sz w:val="22"/>
          <w:szCs w:val="22"/>
          <w:lang w:val="de-AT"/>
        </w:rPr>
        <w:t>Das heißt,</w:t>
      </w:r>
      <w:r w:rsidRPr="00233B41">
        <w:rPr>
          <w:color w:val="000000"/>
          <w:sz w:val="22"/>
          <w:lang w:val="de-AT"/>
        </w:rPr>
        <w:t xml:space="preserve"> s</w:t>
      </w:r>
      <w:r w:rsidRPr="00233B41">
        <w:rPr>
          <w:sz w:val="22"/>
          <w:lang w:val="de-AT"/>
        </w:rPr>
        <w:t xml:space="preserve">ie entfalten, wie die Östrogene, ihre Wirkung an den Östrogen-Rezeptoren der Knochen und hemmen somit die </w:t>
      </w:r>
      <w:proofErr w:type="spellStart"/>
      <w:r w:rsidRPr="00233B41">
        <w:rPr>
          <w:sz w:val="22"/>
          <w:lang w:val="de-AT"/>
        </w:rPr>
        <w:t>Osteoklasten</w:t>
      </w:r>
      <w:proofErr w:type="spellEnd"/>
      <w:r w:rsidRPr="00233B41">
        <w:rPr>
          <w:sz w:val="22"/>
          <w:lang w:val="de-AT"/>
        </w:rPr>
        <w:t xml:space="preserve"> und damit den Knochenabbau.</w:t>
      </w:r>
    </w:p>
    <w:p w:rsidR="00E66987" w:rsidRPr="00233B41" w:rsidRDefault="00E66987" w:rsidP="001E3BC3">
      <w:pPr>
        <w:spacing w:after="120"/>
        <w:rPr>
          <w:color w:val="000000"/>
          <w:sz w:val="22"/>
          <w:lang w:val="de-AT"/>
        </w:rPr>
      </w:pPr>
      <w:r w:rsidRPr="00233B41">
        <w:rPr>
          <w:color w:val="000000"/>
          <w:sz w:val="22"/>
          <w:lang w:val="de-AT"/>
        </w:rPr>
        <w:t xml:space="preserve">Das </w:t>
      </w:r>
      <w:r w:rsidRPr="00233B41">
        <w:rPr>
          <w:rFonts w:cs="Arial"/>
          <w:color w:val="000000"/>
          <w:sz w:val="22"/>
          <w:szCs w:val="22"/>
          <w:lang w:val="de-AT"/>
        </w:rPr>
        <w:t>einzige</w:t>
      </w:r>
      <w:r w:rsidRPr="00233B41">
        <w:rPr>
          <w:color w:val="000000"/>
          <w:sz w:val="22"/>
          <w:lang w:val="de-AT"/>
        </w:rPr>
        <w:t xml:space="preserve"> für die Osteoporose-Therapie </w:t>
      </w:r>
      <w:r w:rsidRPr="00233B41">
        <w:rPr>
          <w:rFonts w:cs="Arial"/>
          <w:color w:val="000000"/>
          <w:sz w:val="22"/>
          <w:szCs w:val="22"/>
          <w:lang w:val="de-AT"/>
        </w:rPr>
        <w:t>verfügbare</w:t>
      </w:r>
      <w:r w:rsidRPr="00233B41">
        <w:rPr>
          <w:color w:val="000000"/>
          <w:sz w:val="22"/>
          <w:lang w:val="de-AT"/>
        </w:rPr>
        <w:t xml:space="preserve"> SERM </w:t>
      </w:r>
      <w:proofErr w:type="spellStart"/>
      <w:r w:rsidRPr="00233B41">
        <w:rPr>
          <w:i/>
          <w:color w:val="000000"/>
          <w:sz w:val="22"/>
          <w:lang w:val="de-AT"/>
        </w:rPr>
        <w:t>Raloxifen</w:t>
      </w:r>
      <w:proofErr w:type="spellEnd"/>
      <w:r w:rsidRPr="00233B41">
        <w:rPr>
          <w:color w:val="000000"/>
          <w:sz w:val="22"/>
          <w:lang w:val="de-AT"/>
        </w:rPr>
        <w:t xml:space="preserve"> wirkt also am Knochen </w:t>
      </w:r>
      <w:r w:rsidRPr="00233B41">
        <w:rPr>
          <w:rFonts w:cs="Arial"/>
          <w:color w:val="000000"/>
          <w:sz w:val="22"/>
          <w:szCs w:val="22"/>
          <w:lang w:val="de-AT"/>
        </w:rPr>
        <w:t>östrogenähnlich</w:t>
      </w:r>
      <w:r w:rsidRPr="00233B41">
        <w:rPr>
          <w:color w:val="000000"/>
          <w:sz w:val="22"/>
          <w:lang w:val="de-AT"/>
        </w:rPr>
        <w:t xml:space="preserve">, in anderen Geweben jedoch, wie z.B. dem </w:t>
      </w:r>
      <w:proofErr w:type="spellStart"/>
      <w:r w:rsidRPr="00233B41">
        <w:rPr>
          <w:color w:val="000000"/>
          <w:sz w:val="22"/>
          <w:lang w:val="de-AT"/>
        </w:rPr>
        <w:t>Endometrium</w:t>
      </w:r>
      <w:proofErr w:type="spellEnd"/>
      <w:r w:rsidRPr="00233B41">
        <w:rPr>
          <w:color w:val="000000"/>
          <w:sz w:val="22"/>
          <w:lang w:val="de-AT"/>
        </w:rPr>
        <w:t xml:space="preserve"> oder Brustgewebe, ist eine Anti-Östrogen-Wirkung zu beobachten. Im Brustgewebe hat </w:t>
      </w:r>
      <w:proofErr w:type="spellStart"/>
      <w:r w:rsidRPr="00233B41">
        <w:rPr>
          <w:color w:val="000000"/>
          <w:sz w:val="22"/>
          <w:lang w:val="de-AT"/>
        </w:rPr>
        <w:t>Raloxifen</w:t>
      </w:r>
      <w:proofErr w:type="spellEnd"/>
      <w:r w:rsidRPr="00233B41">
        <w:rPr>
          <w:color w:val="000000"/>
          <w:sz w:val="22"/>
          <w:lang w:val="de-AT"/>
        </w:rPr>
        <w:t xml:space="preserve"> sogar </w:t>
      </w:r>
      <w:proofErr w:type="spellStart"/>
      <w:r w:rsidRPr="00233B41">
        <w:rPr>
          <w:color w:val="000000"/>
          <w:sz w:val="22"/>
          <w:lang w:val="de-AT"/>
        </w:rPr>
        <w:t>antiproliferatorische</w:t>
      </w:r>
      <w:proofErr w:type="spellEnd"/>
      <w:r w:rsidRPr="00233B41">
        <w:rPr>
          <w:color w:val="000000"/>
          <w:sz w:val="22"/>
          <w:lang w:val="de-AT"/>
        </w:rPr>
        <w:t xml:space="preserve"> Wirkungen.</w:t>
      </w:r>
    </w:p>
    <w:p w:rsidR="00E66987" w:rsidRPr="00233B41" w:rsidRDefault="00E66987" w:rsidP="001E3BC3">
      <w:pPr>
        <w:spacing w:after="120"/>
        <w:rPr>
          <w:sz w:val="22"/>
          <w:lang w:val="de-AT"/>
        </w:rPr>
      </w:pPr>
      <w:r w:rsidRPr="00233B41">
        <w:rPr>
          <w:sz w:val="22"/>
          <w:lang w:val="de-AT"/>
        </w:rPr>
        <w:t>Der Vorteil dieser Behandlung gegenüber der Hormonersatztherapie mit Östrogenen besteht also darin, dass sie in erster Linie an</w:t>
      </w:r>
      <w:r>
        <w:rPr>
          <w:sz w:val="22"/>
          <w:lang w:val="de-AT"/>
        </w:rPr>
        <w:t xml:space="preserve"> den Knochen stimulierend wirkt</w:t>
      </w:r>
      <w:r w:rsidRPr="00233B41">
        <w:rPr>
          <w:sz w:val="22"/>
          <w:lang w:val="de-AT"/>
        </w:rPr>
        <w:t xml:space="preserve"> und weniger an Brustgewebe und Gebärmutterschleimhaut. </w:t>
      </w:r>
    </w:p>
    <w:p w:rsidR="00E66987" w:rsidRPr="00233B41" w:rsidRDefault="00E66987" w:rsidP="00161D39">
      <w:pPr>
        <w:pStyle w:val="StandardWeb"/>
        <w:spacing w:before="360" w:beforeAutospacing="0" w:after="120" w:afterAutospacing="0"/>
        <w:rPr>
          <w:rStyle w:val="normtextstress"/>
          <w:rFonts w:ascii="Arial" w:hAnsi="Arial"/>
          <w:b/>
          <w:sz w:val="22"/>
          <w:lang w:val="de-AT"/>
        </w:rPr>
      </w:pPr>
      <w:bookmarkStart w:id="7" w:name="bisphos"/>
      <w:bookmarkEnd w:id="7"/>
      <w:proofErr w:type="spellStart"/>
      <w:r w:rsidRPr="00233B41">
        <w:rPr>
          <w:rStyle w:val="normtextstress"/>
          <w:rFonts w:ascii="Arial" w:hAnsi="Arial"/>
          <w:b/>
          <w:sz w:val="22"/>
          <w:lang w:val="de-AT"/>
        </w:rPr>
        <w:t>Bisphosphonate</w:t>
      </w:r>
      <w:proofErr w:type="spellEnd"/>
      <w:r w:rsidRPr="00233B41">
        <w:rPr>
          <w:rStyle w:val="normtextstress"/>
          <w:rFonts w:ascii="Arial" w:hAnsi="Arial"/>
          <w:b/>
          <w:sz w:val="22"/>
          <w:lang w:val="de-AT"/>
        </w:rPr>
        <w:t xml:space="preserve"> – von der täglichen oralen Einnahme bis zur „Jahresspritze“</w:t>
      </w:r>
    </w:p>
    <w:p w:rsidR="00E66987" w:rsidRPr="00233B41" w:rsidRDefault="00E66987" w:rsidP="00161D39">
      <w:pPr>
        <w:pStyle w:val="StandardWeb"/>
        <w:spacing w:before="0" w:beforeAutospacing="0" w:after="120" w:afterAutospacing="0"/>
        <w:rPr>
          <w:rFonts w:ascii="Arial" w:hAnsi="Arial"/>
          <w:sz w:val="22"/>
          <w:lang w:val="de-AT"/>
        </w:rPr>
      </w:pPr>
      <w:proofErr w:type="spellStart"/>
      <w:r w:rsidRPr="00233B41">
        <w:rPr>
          <w:rFonts w:ascii="Arial" w:hAnsi="Arial"/>
          <w:sz w:val="22"/>
          <w:lang w:val="de-AT"/>
        </w:rPr>
        <w:t>Bisphosphonate</w:t>
      </w:r>
      <w:proofErr w:type="spellEnd"/>
      <w:r w:rsidRPr="00233B41">
        <w:rPr>
          <w:rFonts w:ascii="Arial" w:hAnsi="Arial"/>
          <w:sz w:val="22"/>
          <w:lang w:val="de-AT"/>
        </w:rPr>
        <w:t xml:space="preserve"> sind in der Therapie der Osteoporose seit langem etabliert</w:t>
      </w:r>
      <w:r w:rsidRPr="00233B41">
        <w:rPr>
          <w:rFonts w:ascii="Arial" w:hAnsi="Arial" w:cs="Arial"/>
          <w:sz w:val="22"/>
          <w:szCs w:val="20"/>
          <w:lang w:val="de-AT"/>
        </w:rPr>
        <w:t>. Im</w:t>
      </w:r>
      <w:r w:rsidRPr="00233B41">
        <w:rPr>
          <w:rFonts w:ascii="Arial" w:hAnsi="Arial"/>
          <w:sz w:val="22"/>
          <w:lang w:val="de-AT"/>
        </w:rPr>
        <w:t xml:space="preserve"> Bezug auf ihre Darreichungsform und somit die Vereinfachung der Verabreichung </w:t>
      </w:r>
      <w:r w:rsidRPr="00233B41">
        <w:rPr>
          <w:rFonts w:ascii="Arial" w:hAnsi="Arial" w:cs="Arial"/>
          <w:sz w:val="22"/>
          <w:szCs w:val="20"/>
          <w:lang w:val="de-AT"/>
        </w:rPr>
        <w:t>gab es</w:t>
      </w:r>
      <w:r w:rsidRPr="00233B41">
        <w:rPr>
          <w:rFonts w:ascii="Arial" w:hAnsi="Arial"/>
          <w:sz w:val="22"/>
          <w:lang w:val="de-AT"/>
        </w:rPr>
        <w:t xml:space="preserve"> in den </w:t>
      </w:r>
      <w:r w:rsidRPr="00233B41">
        <w:rPr>
          <w:rFonts w:ascii="Arial" w:hAnsi="Arial" w:cs="Arial"/>
          <w:sz w:val="22"/>
          <w:szCs w:val="20"/>
          <w:lang w:val="de-AT"/>
        </w:rPr>
        <w:t>vergangenen</w:t>
      </w:r>
      <w:r w:rsidRPr="00233B41">
        <w:rPr>
          <w:rFonts w:ascii="Arial" w:hAnsi="Arial"/>
          <w:sz w:val="22"/>
          <w:lang w:val="de-AT"/>
        </w:rPr>
        <w:t xml:space="preserve"> Jahren </w:t>
      </w:r>
      <w:r w:rsidRPr="00233B41">
        <w:rPr>
          <w:rFonts w:ascii="Arial" w:hAnsi="Arial" w:cs="Arial"/>
          <w:sz w:val="22"/>
          <w:szCs w:val="20"/>
          <w:lang w:val="de-AT"/>
        </w:rPr>
        <w:t>Verbesserungen durch die Verlängerung der Einnahmeintervalle</w:t>
      </w:r>
      <w:r w:rsidRPr="00233B41">
        <w:rPr>
          <w:rFonts w:ascii="Arial" w:hAnsi="Arial"/>
          <w:sz w:val="22"/>
          <w:lang w:val="de-AT"/>
        </w:rPr>
        <w:t>.</w:t>
      </w:r>
    </w:p>
    <w:p w:rsidR="00E66987" w:rsidRPr="00233B41" w:rsidRDefault="00E66987" w:rsidP="00161D39">
      <w:pPr>
        <w:pStyle w:val="StandardWeb"/>
        <w:spacing w:before="0" w:beforeAutospacing="0" w:after="120" w:afterAutospacing="0"/>
        <w:rPr>
          <w:rFonts w:ascii="Arial" w:hAnsi="Arial"/>
          <w:sz w:val="22"/>
          <w:lang w:val="de-AT"/>
        </w:rPr>
      </w:pPr>
      <w:proofErr w:type="spellStart"/>
      <w:r w:rsidRPr="00233B41">
        <w:rPr>
          <w:rFonts w:ascii="Arial" w:hAnsi="Arial"/>
          <w:sz w:val="22"/>
          <w:lang w:val="de-AT"/>
        </w:rPr>
        <w:t>Bisphosphonate</w:t>
      </w:r>
      <w:proofErr w:type="spellEnd"/>
      <w:r w:rsidRPr="00233B41">
        <w:rPr>
          <w:rFonts w:ascii="Arial" w:hAnsi="Arial"/>
          <w:sz w:val="22"/>
          <w:lang w:val="de-AT"/>
        </w:rPr>
        <w:t xml:space="preserve"> sind </w:t>
      </w:r>
      <w:r w:rsidRPr="00233B41">
        <w:rPr>
          <w:rFonts w:ascii="Arial" w:hAnsi="Arial" w:cs="Arial"/>
          <w:sz w:val="22"/>
          <w:szCs w:val="22"/>
          <w:lang w:val="de-AT"/>
        </w:rPr>
        <w:t>nichthormonelle</w:t>
      </w:r>
      <w:r w:rsidRPr="00233B41">
        <w:rPr>
          <w:rFonts w:ascii="Arial" w:hAnsi="Arial"/>
          <w:sz w:val="22"/>
          <w:lang w:val="de-AT"/>
        </w:rPr>
        <w:t xml:space="preserve"> Substanzen, die den Knochenabbau hemmen, indem sie die Aktivität der </w:t>
      </w:r>
      <w:proofErr w:type="spellStart"/>
      <w:r w:rsidRPr="00233B41">
        <w:rPr>
          <w:rFonts w:ascii="Arial" w:hAnsi="Arial"/>
          <w:sz w:val="22"/>
          <w:lang w:val="de-AT"/>
        </w:rPr>
        <w:t>Osteoklasten</w:t>
      </w:r>
      <w:proofErr w:type="spellEnd"/>
      <w:r w:rsidRPr="00233B41">
        <w:rPr>
          <w:rFonts w:ascii="Arial" w:hAnsi="Arial"/>
          <w:sz w:val="22"/>
          <w:lang w:val="de-AT"/>
        </w:rPr>
        <w:t xml:space="preserve"> behindern. Sie werden in die mineralisierte Knochenmatrix eingelagert und bilden auf diese Art eine mechanische Hülle um die einzelnen Knochenbälkchen. </w:t>
      </w:r>
      <w:r w:rsidRPr="00233B41">
        <w:rPr>
          <w:rFonts w:ascii="Arial" w:hAnsi="Arial" w:cs="Arial"/>
          <w:sz w:val="22"/>
          <w:szCs w:val="20"/>
          <w:lang w:val="de-AT"/>
        </w:rPr>
        <w:t xml:space="preserve">Sie bilden quasi eine Schutzschicht zwischen dem Knochen und den </w:t>
      </w:r>
      <w:proofErr w:type="spellStart"/>
      <w:r w:rsidRPr="00233B41">
        <w:rPr>
          <w:rFonts w:ascii="Arial" w:hAnsi="Arial" w:cs="Arial"/>
          <w:sz w:val="22"/>
          <w:szCs w:val="20"/>
          <w:lang w:val="de-AT"/>
        </w:rPr>
        <w:t>Osteoklasten</w:t>
      </w:r>
      <w:proofErr w:type="spellEnd"/>
      <w:r w:rsidRPr="00233B41">
        <w:rPr>
          <w:rFonts w:ascii="Arial" w:hAnsi="Arial" w:cs="Arial"/>
          <w:sz w:val="22"/>
          <w:szCs w:val="20"/>
          <w:lang w:val="de-AT"/>
        </w:rPr>
        <w:t xml:space="preserve">. </w:t>
      </w:r>
      <w:r w:rsidRPr="00233B41">
        <w:rPr>
          <w:rFonts w:ascii="Arial" w:hAnsi="Arial"/>
          <w:sz w:val="22"/>
          <w:lang w:val="de-AT"/>
        </w:rPr>
        <w:t xml:space="preserve">Eine weitere Resorption von Knochensubstanz durch die </w:t>
      </w:r>
      <w:proofErr w:type="spellStart"/>
      <w:r w:rsidRPr="00233B41">
        <w:rPr>
          <w:rFonts w:ascii="Arial" w:hAnsi="Arial"/>
          <w:sz w:val="22"/>
          <w:lang w:val="de-AT"/>
        </w:rPr>
        <w:t>Osteoklasten</w:t>
      </w:r>
      <w:proofErr w:type="spellEnd"/>
      <w:r w:rsidRPr="00233B41">
        <w:rPr>
          <w:rFonts w:ascii="Arial" w:hAnsi="Arial"/>
          <w:sz w:val="22"/>
          <w:lang w:val="de-AT"/>
        </w:rPr>
        <w:t xml:space="preserve"> wird dadurch verhindert.</w:t>
      </w:r>
    </w:p>
    <w:p w:rsidR="00E66987" w:rsidRPr="00233B41" w:rsidRDefault="00E66987" w:rsidP="00161D39">
      <w:pPr>
        <w:pStyle w:val="StandardWeb"/>
        <w:spacing w:before="0" w:beforeAutospacing="0" w:after="120" w:afterAutospacing="0"/>
        <w:rPr>
          <w:rFonts w:ascii="Arial" w:hAnsi="Arial"/>
          <w:sz w:val="22"/>
          <w:lang w:val="de-AT"/>
        </w:rPr>
      </w:pPr>
      <w:r w:rsidRPr="00233B41">
        <w:rPr>
          <w:rFonts w:ascii="Arial" w:hAnsi="Arial"/>
          <w:sz w:val="22"/>
          <w:lang w:val="de-AT"/>
        </w:rPr>
        <w:t xml:space="preserve">Außerdem lagern sich moderne </w:t>
      </w:r>
      <w:proofErr w:type="spellStart"/>
      <w:r w:rsidRPr="00233B41">
        <w:rPr>
          <w:rFonts w:ascii="Arial" w:hAnsi="Arial"/>
          <w:sz w:val="22"/>
          <w:lang w:val="de-AT"/>
        </w:rPr>
        <w:t>Bisphoshonate</w:t>
      </w:r>
      <w:proofErr w:type="spellEnd"/>
      <w:r w:rsidRPr="00233B41">
        <w:rPr>
          <w:rFonts w:ascii="Arial" w:hAnsi="Arial"/>
          <w:sz w:val="22"/>
          <w:lang w:val="de-AT"/>
        </w:rPr>
        <w:t xml:space="preserve"> zusätzlich unmittelbar an den Oberflächen der </w:t>
      </w:r>
      <w:proofErr w:type="spellStart"/>
      <w:r w:rsidRPr="00233B41">
        <w:rPr>
          <w:rFonts w:ascii="Arial" w:hAnsi="Arial"/>
          <w:sz w:val="22"/>
          <w:lang w:val="de-AT"/>
        </w:rPr>
        <w:t>Osteoklasten</w:t>
      </w:r>
      <w:proofErr w:type="spellEnd"/>
      <w:r w:rsidRPr="00233B41">
        <w:rPr>
          <w:rFonts w:ascii="Arial" w:hAnsi="Arial"/>
          <w:sz w:val="22"/>
          <w:lang w:val="de-AT"/>
        </w:rPr>
        <w:t xml:space="preserve"> an. Um Knochensubstanz resorbieren zu können, sondern diese Säuren in das umliegende Gewebe ab. Und auch diese Säuren werden von den basischen </w:t>
      </w:r>
      <w:proofErr w:type="spellStart"/>
      <w:r w:rsidRPr="00233B41">
        <w:rPr>
          <w:rFonts w:ascii="Arial" w:hAnsi="Arial"/>
          <w:sz w:val="22"/>
          <w:lang w:val="de-AT"/>
        </w:rPr>
        <w:t>Bisphosphonaten</w:t>
      </w:r>
      <w:proofErr w:type="spellEnd"/>
      <w:r w:rsidRPr="00233B41">
        <w:rPr>
          <w:rFonts w:ascii="Arial" w:hAnsi="Arial"/>
          <w:sz w:val="22"/>
          <w:lang w:val="de-AT"/>
        </w:rPr>
        <w:t xml:space="preserve"> weitgehend neutralisiert. Dieser Wirkungsmechanismus </w:t>
      </w:r>
      <w:r w:rsidRPr="00233B41">
        <w:rPr>
          <w:rFonts w:ascii="Arial" w:hAnsi="Arial" w:cs="Arial"/>
          <w:sz w:val="22"/>
          <w:szCs w:val="22"/>
          <w:lang w:val="de-AT"/>
        </w:rPr>
        <w:t>greift</w:t>
      </w:r>
      <w:r w:rsidRPr="00233B41">
        <w:rPr>
          <w:rFonts w:ascii="Arial" w:hAnsi="Arial"/>
          <w:sz w:val="22"/>
          <w:lang w:val="de-AT"/>
        </w:rPr>
        <w:t xml:space="preserve"> also von mehreren Seiten her </w:t>
      </w:r>
      <w:r w:rsidRPr="00233B41">
        <w:rPr>
          <w:rFonts w:ascii="Arial" w:hAnsi="Arial" w:cs="Arial"/>
          <w:sz w:val="22"/>
          <w:szCs w:val="22"/>
          <w:lang w:val="de-AT"/>
        </w:rPr>
        <w:t>an</w:t>
      </w:r>
      <w:r w:rsidRPr="00233B41">
        <w:rPr>
          <w:rFonts w:ascii="Arial" w:hAnsi="Arial"/>
          <w:sz w:val="22"/>
          <w:lang w:val="de-AT"/>
        </w:rPr>
        <w:t xml:space="preserve"> und dies führt auch zu einer Reduzierung der zu verabreichenden Medikamentendosis. Darüber hinaus sollen </w:t>
      </w:r>
      <w:proofErr w:type="spellStart"/>
      <w:r w:rsidRPr="00233B41">
        <w:rPr>
          <w:rFonts w:ascii="Arial" w:hAnsi="Arial"/>
          <w:sz w:val="22"/>
          <w:lang w:val="de-AT"/>
        </w:rPr>
        <w:t>Bisphosphonate</w:t>
      </w:r>
      <w:proofErr w:type="spellEnd"/>
      <w:r w:rsidRPr="00233B41">
        <w:rPr>
          <w:rFonts w:ascii="Arial" w:hAnsi="Arial"/>
          <w:sz w:val="22"/>
          <w:lang w:val="de-AT"/>
        </w:rPr>
        <w:t xml:space="preserve"> auch die </w:t>
      </w:r>
      <w:proofErr w:type="spellStart"/>
      <w:r w:rsidRPr="00233B41">
        <w:rPr>
          <w:rFonts w:ascii="Arial" w:hAnsi="Arial"/>
          <w:sz w:val="22"/>
          <w:lang w:val="de-AT"/>
        </w:rPr>
        <w:t>Apoptose</w:t>
      </w:r>
      <w:proofErr w:type="spellEnd"/>
      <w:r w:rsidRPr="00233B41">
        <w:rPr>
          <w:rFonts w:ascii="Arial" w:hAnsi="Arial"/>
          <w:sz w:val="22"/>
          <w:lang w:val="de-AT"/>
        </w:rPr>
        <w:t xml:space="preserve"> (programmierter Zelltod) der </w:t>
      </w:r>
      <w:proofErr w:type="spellStart"/>
      <w:r w:rsidRPr="00233B41">
        <w:rPr>
          <w:rFonts w:ascii="Arial" w:hAnsi="Arial"/>
          <w:sz w:val="22"/>
          <w:lang w:val="de-AT"/>
        </w:rPr>
        <w:t>Osteoklasten</w:t>
      </w:r>
      <w:proofErr w:type="spellEnd"/>
      <w:r w:rsidRPr="00233B41">
        <w:rPr>
          <w:rFonts w:ascii="Arial" w:hAnsi="Arial"/>
          <w:sz w:val="22"/>
          <w:lang w:val="de-AT"/>
        </w:rPr>
        <w:t xml:space="preserve"> anregen</w:t>
      </w:r>
      <w:r>
        <w:rPr>
          <w:rFonts w:ascii="Arial" w:hAnsi="Arial"/>
          <w:sz w:val="22"/>
          <w:lang w:val="de-AT"/>
        </w:rPr>
        <w:t>.</w:t>
      </w:r>
    </w:p>
    <w:p w:rsidR="00E66987" w:rsidRPr="00233B41" w:rsidRDefault="00E66987" w:rsidP="00161D39">
      <w:pPr>
        <w:pStyle w:val="StandardWeb"/>
        <w:spacing w:before="0" w:beforeAutospacing="0" w:after="120" w:afterAutospacing="0"/>
        <w:rPr>
          <w:rFonts w:ascii="Arial" w:hAnsi="Arial"/>
          <w:sz w:val="22"/>
          <w:lang w:val="de-AT"/>
        </w:rPr>
      </w:pPr>
      <w:r w:rsidRPr="00233B41">
        <w:rPr>
          <w:rFonts w:ascii="Arial" w:hAnsi="Arial"/>
          <w:sz w:val="22"/>
          <w:lang w:val="de-AT"/>
        </w:rPr>
        <w:t xml:space="preserve">Allerdings ist ihre Bioverfügbarkeit sehr gering und </w:t>
      </w:r>
      <w:proofErr w:type="gramStart"/>
      <w:r w:rsidRPr="00233B41">
        <w:rPr>
          <w:rFonts w:ascii="Arial" w:hAnsi="Arial"/>
          <w:sz w:val="22"/>
          <w:lang w:val="de-AT"/>
        </w:rPr>
        <w:t>das</w:t>
      </w:r>
      <w:proofErr w:type="gramEnd"/>
      <w:r w:rsidRPr="00233B41">
        <w:rPr>
          <w:rFonts w:ascii="Arial" w:hAnsi="Arial"/>
          <w:sz w:val="22"/>
          <w:lang w:val="de-AT"/>
        </w:rPr>
        <w:t xml:space="preserve"> Einnahmeprozedere der ersten </w:t>
      </w:r>
      <w:proofErr w:type="spellStart"/>
      <w:r w:rsidRPr="00233B41">
        <w:rPr>
          <w:rFonts w:ascii="Arial" w:hAnsi="Arial"/>
          <w:sz w:val="22"/>
          <w:lang w:val="de-AT"/>
        </w:rPr>
        <w:t>Bisphosphonate</w:t>
      </w:r>
      <w:proofErr w:type="spellEnd"/>
      <w:r w:rsidRPr="00233B41">
        <w:rPr>
          <w:rFonts w:ascii="Arial" w:hAnsi="Arial"/>
          <w:sz w:val="22"/>
          <w:lang w:val="de-AT"/>
        </w:rPr>
        <w:t xml:space="preserve"> war sehr aufwändig und musste täglich erfolgen. </w:t>
      </w:r>
    </w:p>
    <w:p w:rsidR="00E66987" w:rsidRPr="00233B41" w:rsidRDefault="00E66987" w:rsidP="00161D39">
      <w:pPr>
        <w:pStyle w:val="StandardWeb"/>
        <w:spacing w:before="0" w:beforeAutospacing="0" w:after="120" w:afterAutospacing="0"/>
        <w:rPr>
          <w:rFonts w:ascii="Arial" w:hAnsi="Arial"/>
          <w:sz w:val="22"/>
          <w:lang w:val="de-AT"/>
        </w:rPr>
      </w:pPr>
      <w:r w:rsidRPr="00233B41">
        <w:rPr>
          <w:rFonts w:ascii="Arial" w:hAnsi="Arial"/>
          <w:sz w:val="22"/>
          <w:lang w:val="de-AT"/>
        </w:rPr>
        <w:t xml:space="preserve">Man musste sie mindestens 30 Minuten vor der ersten Tagesmahlzeit in aufrechter Körperhaltung mit einem Glas Leitungswasser unzerkaut einnehmen, um eine Resorption in </w:t>
      </w:r>
      <w:r w:rsidRPr="00233B41">
        <w:rPr>
          <w:rFonts w:ascii="Arial" w:hAnsi="Arial"/>
          <w:sz w:val="22"/>
          <w:lang w:val="de-AT"/>
        </w:rPr>
        <w:lastRenderedPageBreak/>
        <w:t xml:space="preserve">wirksamer Menge sicherzustellen und das Auftreten unerwünschter </w:t>
      </w:r>
      <w:proofErr w:type="spellStart"/>
      <w:r w:rsidRPr="00233B41">
        <w:rPr>
          <w:rFonts w:ascii="Arial" w:hAnsi="Arial"/>
          <w:sz w:val="22"/>
          <w:lang w:val="de-AT"/>
        </w:rPr>
        <w:t>ösophagogastraler</w:t>
      </w:r>
      <w:proofErr w:type="spellEnd"/>
      <w:r w:rsidRPr="00233B41">
        <w:rPr>
          <w:rFonts w:ascii="Arial" w:hAnsi="Arial"/>
          <w:sz w:val="22"/>
          <w:lang w:val="de-AT"/>
        </w:rPr>
        <w:t xml:space="preserve"> Reizzustände (bis zur </w:t>
      </w:r>
      <w:proofErr w:type="spellStart"/>
      <w:r w:rsidRPr="00233B41">
        <w:rPr>
          <w:rFonts w:ascii="Arial" w:hAnsi="Arial"/>
          <w:sz w:val="22"/>
          <w:lang w:val="de-AT"/>
        </w:rPr>
        <w:t>Ulcusbildung</w:t>
      </w:r>
      <w:proofErr w:type="spellEnd"/>
      <w:r w:rsidRPr="00233B41">
        <w:rPr>
          <w:rFonts w:ascii="Arial" w:hAnsi="Arial"/>
          <w:sz w:val="22"/>
          <w:lang w:val="de-AT"/>
        </w:rPr>
        <w:t>) zu verhindern. Die gleichzeitige Einnahme mit ander</w:t>
      </w:r>
      <w:r>
        <w:rPr>
          <w:rFonts w:ascii="Arial" w:hAnsi="Arial"/>
          <w:sz w:val="22"/>
          <w:lang w:val="de-AT"/>
        </w:rPr>
        <w:t>e</w:t>
      </w:r>
      <w:r w:rsidRPr="00233B41">
        <w:rPr>
          <w:rFonts w:ascii="Arial" w:hAnsi="Arial"/>
          <w:sz w:val="22"/>
          <w:lang w:val="de-AT"/>
        </w:rPr>
        <w:t>n Medikamenten und Nahrungsmitteln war unbedingt zu vermeiden.</w:t>
      </w:r>
    </w:p>
    <w:p w:rsidR="00E66987" w:rsidRPr="00233B41" w:rsidRDefault="00E66987" w:rsidP="00161D39">
      <w:pPr>
        <w:pStyle w:val="StandardWeb"/>
        <w:spacing w:before="0" w:beforeAutospacing="0" w:after="120" w:afterAutospacing="0"/>
        <w:rPr>
          <w:rFonts w:ascii="Arial" w:hAnsi="Arial"/>
          <w:sz w:val="22"/>
          <w:lang w:val="de-AT"/>
        </w:rPr>
      </w:pPr>
      <w:r w:rsidRPr="00233B41">
        <w:rPr>
          <w:rFonts w:ascii="Arial" w:hAnsi="Arial"/>
          <w:sz w:val="22"/>
          <w:lang w:val="de-AT"/>
        </w:rPr>
        <w:t xml:space="preserve">Somit war es für die </w:t>
      </w:r>
      <w:proofErr w:type="spellStart"/>
      <w:r w:rsidRPr="00233B41">
        <w:rPr>
          <w:rFonts w:ascii="Arial" w:hAnsi="Arial"/>
          <w:sz w:val="22"/>
          <w:lang w:val="de-AT"/>
        </w:rPr>
        <w:t>PatientInnen</w:t>
      </w:r>
      <w:proofErr w:type="spellEnd"/>
      <w:r w:rsidRPr="00233B41">
        <w:rPr>
          <w:rFonts w:ascii="Arial" w:hAnsi="Arial"/>
          <w:sz w:val="22"/>
          <w:lang w:val="de-AT"/>
        </w:rPr>
        <w:t xml:space="preserve"> eine ungeheure Erleichterung, als nach der Tages- die Wochen</w:t>
      </w:r>
      <w:r>
        <w:rPr>
          <w:rFonts w:ascii="Arial" w:hAnsi="Arial"/>
          <w:sz w:val="22"/>
          <w:lang w:val="de-AT"/>
        </w:rPr>
        <w:t>-</w:t>
      </w:r>
      <w:r w:rsidRPr="00233B41">
        <w:rPr>
          <w:rFonts w:ascii="Arial" w:hAnsi="Arial"/>
          <w:sz w:val="22"/>
          <w:lang w:val="de-AT"/>
        </w:rPr>
        <w:t xml:space="preserve"> und danach die Monatstablette auf den Markt kamen. Die intravenöse Therapie, als Infusion oder Spritze verabreicht, muss nur mehr vierteljährlich oder gar nur mehr einmal pro Jahr verabreicht werden. Eine Darreichungsform, die die Compliance vieler </w:t>
      </w:r>
      <w:proofErr w:type="spellStart"/>
      <w:r w:rsidRPr="00233B41">
        <w:rPr>
          <w:rFonts w:ascii="Arial" w:hAnsi="Arial"/>
          <w:sz w:val="22"/>
          <w:lang w:val="de-AT"/>
        </w:rPr>
        <w:t>PatientInnen</w:t>
      </w:r>
      <w:proofErr w:type="spellEnd"/>
      <w:r w:rsidRPr="00233B41">
        <w:rPr>
          <w:rFonts w:ascii="Arial" w:hAnsi="Arial"/>
          <w:sz w:val="22"/>
          <w:lang w:val="de-AT"/>
        </w:rPr>
        <w:t xml:space="preserve"> erhöhen dürfte.</w:t>
      </w:r>
    </w:p>
    <w:p w:rsidR="00E66987" w:rsidRPr="00233B41" w:rsidRDefault="00E66987" w:rsidP="00161D39">
      <w:pPr>
        <w:pStyle w:val="StandardWeb"/>
        <w:spacing w:before="360" w:beforeAutospacing="0" w:after="120" w:afterAutospacing="0"/>
        <w:rPr>
          <w:rFonts w:ascii="Arial" w:hAnsi="Arial"/>
          <w:b/>
          <w:lang w:val="de-AT"/>
        </w:rPr>
      </w:pPr>
      <w:bookmarkStart w:id="8" w:name="calcitonin"/>
      <w:bookmarkStart w:id="9" w:name="wieder"/>
      <w:bookmarkEnd w:id="8"/>
      <w:bookmarkEnd w:id="9"/>
      <w:r w:rsidRPr="00233B41">
        <w:rPr>
          <w:rStyle w:val="normtextstress"/>
          <w:rFonts w:ascii="Arial" w:hAnsi="Arial"/>
          <w:b/>
          <w:lang w:val="de-AT"/>
        </w:rPr>
        <w:t>Knochenaufbau fördernde Substanzen (</w:t>
      </w:r>
      <w:proofErr w:type="spellStart"/>
      <w:r w:rsidRPr="00233B41">
        <w:rPr>
          <w:rStyle w:val="normtextstress"/>
          <w:rFonts w:ascii="Arial" w:hAnsi="Arial"/>
          <w:b/>
          <w:lang w:val="de-AT"/>
        </w:rPr>
        <w:t>Osteoblastenstimulation</w:t>
      </w:r>
      <w:proofErr w:type="spellEnd"/>
      <w:r w:rsidRPr="00233B41">
        <w:rPr>
          <w:rStyle w:val="normtextstress"/>
          <w:rFonts w:ascii="Arial" w:hAnsi="Arial"/>
          <w:b/>
          <w:lang w:val="de-AT"/>
        </w:rPr>
        <w:t>)</w:t>
      </w:r>
    </w:p>
    <w:p w:rsidR="00E66987" w:rsidRPr="00233B41" w:rsidRDefault="00E66987" w:rsidP="00161D39">
      <w:pPr>
        <w:pStyle w:val="StandardWeb"/>
        <w:spacing w:before="240" w:beforeAutospacing="0" w:after="120" w:afterAutospacing="0"/>
        <w:rPr>
          <w:rStyle w:val="normtextstress"/>
          <w:rFonts w:ascii="Arial" w:hAnsi="Arial"/>
          <w:b/>
          <w:sz w:val="22"/>
          <w:lang w:val="de-AT"/>
        </w:rPr>
      </w:pPr>
      <w:bookmarkStart w:id="10" w:name="fluor"/>
      <w:bookmarkEnd w:id="10"/>
      <w:r w:rsidRPr="00233B41">
        <w:rPr>
          <w:rStyle w:val="normtextstress"/>
          <w:rFonts w:ascii="Arial" w:hAnsi="Arial"/>
          <w:b/>
          <w:sz w:val="22"/>
          <w:lang w:val="de-AT"/>
        </w:rPr>
        <w:t>Fluor (Natriumfluorid)</w:t>
      </w:r>
    </w:p>
    <w:p w:rsidR="00E66987" w:rsidRPr="00233B41" w:rsidRDefault="00E66987" w:rsidP="00161D39">
      <w:pPr>
        <w:pStyle w:val="StandardWeb"/>
        <w:spacing w:before="0" w:beforeAutospacing="0" w:after="120" w:afterAutospacing="0"/>
        <w:rPr>
          <w:rFonts w:ascii="Arial" w:hAnsi="Arial"/>
          <w:sz w:val="22"/>
          <w:lang w:val="de-AT"/>
        </w:rPr>
      </w:pPr>
      <w:r w:rsidRPr="00233B41">
        <w:rPr>
          <w:rFonts w:ascii="Arial" w:hAnsi="Arial"/>
          <w:sz w:val="22"/>
          <w:lang w:val="de-AT"/>
        </w:rPr>
        <w:t>Heute gelten Fluoride als überholt und werden so gut wie nicht mehr in der Behandlung der Osteoporose eingesetzt.</w:t>
      </w:r>
    </w:p>
    <w:p w:rsidR="00E66987" w:rsidRPr="00233B41" w:rsidRDefault="00E66987" w:rsidP="00161D39">
      <w:pPr>
        <w:pStyle w:val="StandardWeb"/>
        <w:spacing w:before="240" w:beforeAutospacing="0" w:after="120" w:afterAutospacing="0"/>
        <w:rPr>
          <w:rStyle w:val="normtextstress"/>
          <w:rFonts w:ascii="Arial" w:hAnsi="Arial"/>
          <w:b/>
          <w:sz w:val="22"/>
          <w:lang w:val="de-AT"/>
        </w:rPr>
      </w:pPr>
      <w:bookmarkStart w:id="11" w:name="parat"/>
      <w:bookmarkEnd w:id="11"/>
      <w:proofErr w:type="spellStart"/>
      <w:r w:rsidRPr="00233B41">
        <w:rPr>
          <w:rStyle w:val="normtextstress"/>
          <w:rFonts w:ascii="Arial" w:hAnsi="Arial"/>
          <w:b/>
          <w:sz w:val="22"/>
          <w:lang w:val="de-AT"/>
        </w:rPr>
        <w:t>Parathormon</w:t>
      </w:r>
      <w:proofErr w:type="spellEnd"/>
      <w:r w:rsidRPr="00233B41">
        <w:rPr>
          <w:rStyle w:val="normtextstress"/>
          <w:rFonts w:ascii="Arial" w:hAnsi="Arial"/>
          <w:b/>
          <w:sz w:val="22"/>
          <w:lang w:val="de-AT"/>
        </w:rPr>
        <w:t xml:space="preserve"> (</w:t>
      </w:r>
      <w:proofErr w:type="spellStart"/>
      <w:r w:rsidRPr="00233B41">
        <w:rPr>
          <w:rStyle w:val="normtextstress"/>
          <w:rFonts w:ascii="Arial" w:hAnsi="Arial"/>
          <w:b/>
          <w:sz w:val="22"/>
          <w:lang w:val="de-AT"/>
        </w:rPr>
        <w:t>Terriparatide</w:t>
      </w:r>
      <w:proofErr w:type="spellEnd"/>
      <w:r w:rsidRPr="00233B41">
        <w:rPr>
          <w:rStyle w:val="normtextstress"/>
          <w:rFonts w:ascii="Arial" w:hAnsi="Arial"/>
          <w:b/>
          <w:sz w:val="22"/>
          <w:lang w:val="de-AT"/>
        </w:rPr>
        <w:t>)</w:t>
      </w:r>
    </w:p>
    <w:p w:rsidR="00E66987" w:rsidRPr="00233B41" w:rsidRDefault="00E66987" w:rsidP="00161D39">
      <w:pPr>
        <w:pStyle w:val="StandardWeb"/>
        <w:spacing w:before="0" w:beforeAutospacing="0" w:after="120" w:afterAutospacing="0"/>
        <w:rPr>
          <w:rFonts w:ascii="Arial" w:hAnsi="Arial"/>
          <w:sz w:val="22"/>
          <w:lang w:val="de-AT"/>
        </w:rPr>
      </w:pPr>
      <w:proofErr w:type="spellStart"/>
      <w:r w:rsidRPr="00233B41">
        <w:rPr>
          <w:rFonts w:ascii="Arial" w:hAnsi="Arial"/>
          <w:sz w:val="22"/>
          <w:lang w:val="de-AT"/>
        </w:rPr>
        <w:t>Parathormon</w:t>
      </w:r>
      <w:proofErr w:type="spellEnd"/>
      <w:r w:rsidRPr="00233B41">
        <w:rPr>
          <w:rFonts w:ascii="Arial" w:hAnsi="Arial"/>
          <w:sz w:val="22"/>
          <w:lang w:val="de-AT"/>
        </w:rPr>
        <w:t xml:space="preserve"> wird eigentlich von den Nebenschilddrüsen hergestellt und aktiviert, kurz gesagt, die knochenaufbauenden </w:t>
      </w:r>
      <w:proofErr w:type="spellStart"/>
      <w:r w:rsidRPr="00233B41">
        <w:rPr>
          <w:rFonts w:ascii="Arial" w:hAnsi="Arial"/>
          <w:sz w:val="22"/>
          <w:lang w:val="de-AT"/>
        </w:rPr>
        <w:t>Osteoblasten</w:t>
      </w:r>
      <w:proofErr w:type="spellEnd"/>
      <w:r w:rsidRPr="00233B41">
        <w:rPr>
          <w:rFonts w:ascii="Arial" w:hAnsi="Arial"/>
          <w:sz w:val="22"/>
          <w:lang w:val="de-AT"/>
        </w:rPr>
        <w:t xml:space="preserve">. </w:t>
      </w:r>
    </w:p>
    <w:p w:rsidR="00E66987" w:rsidRPr="00233B41" w:rsidRDefault="00E66987" w:rsidP="0019373C">
      <w:pPr>
        <w:pStyle w:val="StandardWeb"/>
        <w:spacing w:before="0" w:beforeAutospacing="0" w:after="120" w:afterAutospacing="0"/>
        <w:rPr>
          <w:rFonts w:ascii="Arial" w:hAnsi="Arial"/>
          <w:sz w:val="22"/>
          <w:lang w:val="de-AT"/>
        </w:rPr>
      </w:pPr>
      <w:r w:rsidRPr="00233B41">
        <w:rPr>
          <w:rFonts w:ascii="Arial" w:hAnsi="Arial"/>
          <w:sz w:val="22"/>
          <w:lang w:val="de-AT"/>
        </w:rPr>
        <w:t>Das Besondere an dieser Substanz ist der Wirkungsmechanismus, der sich über einer Aktivierung zuvor ruhender Knochenbelegzellen entfaltet. PTH führt zu einem Knochenmasseanstieg und zu einer Senkung des Frakturrisikos. Übelkeit und Kopfschmerzen können als Nebenwirkung auftreten.</w:t>
      </w:r>
    </w:p>
    <w:p w:rsidR="00E66987" w:rsidRPr="00233B41" w:rsidRDefault="00E66987" w:rsidP="0019373C">
      <w:pPr>
        <w:pStyle w:val="StandardWeb"/>
        <w:spacing w:before="0" w:beforeAutospacing="0" w:after="120" w:afterAutospacing="0"/>
        <w:rPr>
          <w:rFonts w:ascii="Arial" w:hAnsi="Arial"/>
          <w:sz w:val="22"/>
          <w:lang w:val="de-AT"/>
        </w:rPr>
      </w:pPr>
      <w:r w:rsidRPr="00233B41">
        <w:rPr>
          <w:rFonts w:ascii="Arial" w:hAnsi="Arial"/>
          <w:sz w:val="22"/>
          <w:lang w:val="de-AT"/>
        </w:rPr>
        <w:t xml:space="preserve">Auch wenn der ideale Indikationsbereich für PTH zum jetzigen Zeitpunkt noch nicht klar abgesteckt ist, wird die Substanz </w:t>
      </w:r>
      <w:proofErr w:type="spellStart"/>
      <w:r w:rsidRPr="00233B41">
        <w:rPr>
          <w:rFonts w:ascii="Arial" w:hAnsi="Arial"/>
          <w:sz w:val="22"/>
          <w:lang w:val="de-AT"/>
        </w:rPr>
        <w:t>PatientInnen</w:t>
      </w:r>
      <w:proofErr w:type="spellEnd"/>
      <w:r w:rsidRPr="00233B41">
        <w:rPr>
          <w:rFonts w:ascii="Arial" w:hAnsi="Arial"/>
          <w:sz w:val="22"/>
          <w:lang w:val="de-AT"/>
        </w:rPr>
        <w:t xml:space="preserve"> mit schwerer Osteoporose vorbehalten bleiben. Dies schließt neben einem fortgeschritten Krankheitsbild Fälle ein, die eine Progression der Erkrankung unter der gängigen antiresorptiven Therapie zeigen, d.h. unter nachweislich durchgeführter Therapie weitere Frakturen oder eklatante Abfälle der Knochendichte erleiden.</w:t>
      </w:r>
    </w:p>
    <w:p w:rsidR="00E66987" w:rsidRPr="00233B41" w:rsidRDefault="00E66987" w:rsidP="008350D3">
      <w:pPr>
        <w:pStyle w:val="StandardWeb"/>
        <w:spacing w:before="360" w:beforeAutospacing="0" w:after="120" w:afterAutospacing="0"/>
        <w:rPr>
          <w:rStyle w:val="normtextstress"/>
          <w:rFonts w:ascii="Arial" w:hAnsi="Arial"/>
          <w:b/>
          <w:lang w:val="de-AT"/>
        </w:rPr>
      </w:pPr>
      <w:bookmarkStart w:id="12" w:name="sonst"/>
      <w:bookmarkStart w:id="13" w:name="impfung"/>
      <w:bookmarkEnd w:id="12"/>
      <w:bookmarkEnd w:id="13"/>
      <w:proofErr w:type="spellStart"/>
      <w:r w:rsidRPr="00233B41">
        <w:rPr>
          <w:rStyle w:val="normtextstress"/>
          <w:rFonts w:ascii="Arial" w:hAnsi="Arial"/>
          <w:b/>
          <w:lang w:val="de-AT"/>
        </w:rPr>
        <w:t>Denosumab</w:t>
      </w:r>
      <w:proofErr w:type="spellEnd"/>
      <w:r w:rsidRPr="00233B41">
        <w:rPr>
          <w:rStyle w:val="normtextstress"/>
          <w:rFonts w:ascii="Arial" w:hAnsi="Arial"/>
          <w:b/>
          <w:lang w:val="de-AT"/>
        </w:rPr>
        <w:t xml:space="preserve"> – neuer </w:t>
      </w:r>
      <w:r w:rsidRPr="00233B41">
        <w:rPr>
          <w:rStyle w:val="normtextstress"/>
          <w:rFonts w:ascii="Arial" w:hAnsi="Arial" w:cs="Arial"/>
          <w:b/>
          <w:lang w:val="de-AT"/>
        </w:rPr>
        <w:t>zielgerichteter Wirkmechanismus gegen postmenopausale Osteoporose</w:t>
      </w:r>
    </w:p>
    <w:p w:rsidR="00E66987" w:rsidRPr="00233B41" w:rsidRDefault="00E66987" w:rsidP="0019373C">
      <w:pPr>
        <w:pStyle w:val="StandardWeb"/>
        <w:spacing w:before="240" w:beforeAutospacing="0" w:after="120" w:afterAutospacing="0"/>
        <w:rPr>
          <w:rStyle w:val="normtextstress"/>
          <w:rFonts w:ascii="Arial" w:hAnsi="Arial" w:cs="Arial"/>
          <w:b/>
          <w:sz w:val="22"/>
          <w:szCs w:val="20"/>
          <w:lang w:val="de-AT"/>
        </w:rPr>
      </w:pPr>
      <w:r w:rsidRPr="00233B41">
        <w:rPr>
          <w:rStyle w:val="normtextstress"/>
          <w:rFonts w:ascii="Arial" w:hAnsi="Arial" w:cs="Arial"/>
          <w:b/>
          <w:sz w:val="22"/>
          <w:szCs w:val="20"/>
          <w:lang w:val="de-AT"/>
        </w:rPr>
        <w:t xml:space="preserve">Intelligenter Frakturschutz: </w:t>
      </w:r>
      <w:proofErr w:type="spellStart"/>
      <w:r w:rsidRPr="00233B41">
        <w:rPr>
          <w:rStyle w:val="normtextstress"/>
          <w:rFonts w:ascii="Arial" w:hAnsi="Arial" w:cs="Arial"/>
          <w:b/>
          <w:sz w:val="22"/>
          <w:szCs w:val="20"/>
          <w:lang w:val="de-AT"/>
        </w:rPr>
        <w:t>Denosumab</w:t>
      </w:r>
      <w:proofErr w:type="spellEnd"/>
      <w:r w:rsidRPr="00233B41">
        <w:rPr>
          <w:rStyle w:val="normtextstress"/>
          <w:rFonts w:ascii="Arial" w:hAnsi="Arial" w:cs="Arial"/>
          <w:b/>
          <w:sz w:val="22"/>
          <w:szCs w:val="20"/>
          <w:lang w:val="de-AT"/>
        </w:rPr>
        <w:t xml:space="preserve"> hemmt </w:t>
      </w:r>
      <w:proofErr w:type="spellStart"/>
      <w:r w:rsidRPr="00233B41">
        <w:rPr>
          <w:rStyle w:val="normtextstress"/>
          <w:rFonts w:ascii="Arial" w:hAnsi="Arial" w:cs="Arial"/>
          <w:b/>
          <w:sz w:val="22"/>
          <w:szCs w:val="20"/>
          <w:lang w:val="de-AT"/>
        </w:rPr>
        <w:t>Osteoklasten</w:t>
      </w:r>
      <w:proofErr w:type="spellEnd"/>
      <w:r w:rsidRPr="00233B41">
        <w:rPr>
          <w:rStyle w:val="normtextstress"/>
          <w:rFonts w:ascii="Arial" w:hAnsi="Arial" w:cs="Arial"/>
          <w:b/>
          <w:sz w:val="22"/>
          <w:szCs w:val="20"/>
          <w:lang w:val="de-AT"/>
        </w:rPr>
        <w:t xml:space="preserve"> schon in den frühen Reifungsstadien, bevor sie den Knochen erreichen</w:t>
      </w:r>
    </w:p>
    <w:p w:rsidR="00E66987" w:rsidRPr="00233B41" w:rsidRDefault="00E66987" w:rsidP="0019373C">
      <w:pPr>
        <w:pStyle w:val="StandardWeb"/>
        <w:spacing w:before="0" w:beforeAutospacing="0" w:after="120" w:afterAutospacing="0"/>
        <w:rPr>
          <w:rFonts w:ascii="Arial" w:hAnsi="Arial" w:cs="Arial"/>
          <w:sz w:val="22"/>
          <w:szCs w:val="20"/>
          <w:lang w:val="de-AT"/>
        </w:rPr>
      </w:pPr>
      <w:proofErr w:type="spellStart"/>
      <w:r w:rsidRPr="00233B41">
        <w:rPr>
          <w:rFonts w:ascii="Arial" w:hAnsi="Arial" w:cs="Arial"/>
          <w:sz w:val="22"/>
          <w:szCs w:val="20"/>
          <w:lang w:val="de-AT"/>
        </w:rPr>
        <w:t>Denosumab</w:t>
      </w:r>
      <w:proofErr w:type="spellEnd"/>
      <w:r w:rsidRPr="00233B41">
        <w:rPr>
          <w:rFonts w:ascii="Arial" w:hAnsi="Arial" w:cs="Arial"/>
          <w:sz w:val="22"/>
          <w:szCs w:val="20"/>
          <w:lang w:val="de-AT"/>
        </w:rPr>
        <w:t xml:space="preserve"> begründet eine neue Generation von Medikamenten gegen </w:t>
      </w:r>
      <w:proofErr w:type="spellStart"/>
      <w:r w:rsidRPr="00233B41">
        <w:rPr>
          <w:rFonts w:ascii="Arial" w:hAnsi="Arial" w:cs="Arial"/>
          <w:sz w:val="22"/>
          <w:szCs w:val="20"/>
          <w:lang w:val="de-AT"/>
        </w:rPr>
        <w:t>Knochendichte</w:t>
      </w:r>
      <w:r w:rsidRPr="00233B41">
        <w:rPr>
          <w:rFonts w:ascii="Arial" w:hAnsi="Arial" w:cs="Arial"/>
          <w:sz w:val="22"/>
          <w:szCs w:val="20"/>
          <w:lang w:val="de-AT"/>
        </w:rPr>
        <w:softHyphen/>
        <w:t>verlust</w:t>
      </w:r>
      <w:proofErr w:type="spellEnd"/>
      <w:r w:rsidRPr="00233B41">
        <w:rPr>
          <w:rFonts w:ascii="Arial" w:hAnsi="Arial" w:cs="Arial"/>
          <w:sz w:val="22"/>
          <w:szCs w:val="20"/>
          <w:lang w:val="de-AT"/>
        </w:rPr>
        <w:t xml:space="preserve">. Der erste </w:t>
      </w:r>
      <w:r>
        <w:rPr>
          <w:rFonts w:ascii="Arial" w:hAnsi="Arial" w:cs="Arial"/>
          <w:sz w:val="22"/>
          <w:szCs w:val="20"/>
          <w:lang w:val="de-AT"/>
        </w:rPr>
        <w:t>RANK-Ligand Inhibitor</w:t>
      </w:r>
      <w:r w:rsidRPr="00233B41">
        <w:rPr>
          <w:rFonts w:ascii="Arial" w:hAnsi="Arial" w:cs="Arial"/>
          <w:sz w:val="22"/>
          <w:szCs w:val="20"/>
          <w:lang w:val="de-AT"/>
        </w:rPr>
        <w:t xml:space="preserve"> in der </w:t>
      </w:r>
      <w:proofErr w:type="spellStart"/>
      <w:r w:rsidRPr="00233B41">
        <w:rPr>
          <w:rFonts w:ascii="Arial" w:hAnsi="Arial" w:cs="Arial"/>
          <w:sz w:val="22"/>
          <w:szCs w:val="20"/>
          <w:lang w:val="de-AT"/>
        </w:rPr>
        <w:t>Osteoporosetherapie</w:t>
      </w:r>
      <w:proofErr w:type="spellEnd"/>
      <w:r w:rsidRPr="00233B41">
        <w:rPr>
          <w:rFonts w:ascii="Arial" w:hAnsi="Arial" w:cs="Arial"/>
          <w:sz w:val="22"/>
          <w:szCs w:val="20"/>
          <w:lang w:val="de-AT"/>
        </w:rPr>
        <w:t xml:space="preserve"> inaktiviert spezifisch RANK-Ligand, einen Botenstoff, der in der Regulation von Knochenabbauprozessen eine zentrale Rolle spielt. </w:t>
      </w:r>
      <w:proofErr w:type="spellStart"/>
      <w:r w:rsidRPr="00233B41">
        <w:rPr>
          <w:rFonts w:ascii="Arial" w:hAnsi="Arial" w:cs="Arial"/>
          <w:sz w:val="22"/>
          <w:szCs w:val="20"/>
          <w:lang w:val="de-AT"/>
        </w:rPr>
        <w:t>Denosumab</w:t>
      </w:r>
      <w:proofErr w:type="spellEnd"/>
      <w:r w:rsidRPr="00233B41">
        <w:rPr>
          <w:rFonts w:ascii="Arial" w:hAnsi="Arial" w:cs="Arial"/>
          <w:sz w:val="22"/>
          <w:szCs w:val="20"/>
          <w:lang w:val="de-AT"/>
        </w:rPr>
        <w:t xml:space="preserve"> verhindert so den typischen Knochendichteverlust signifikant an allen gemessenen Skelettlokalisationen bei postme</w:t>
      </w:r>
      <w:r>
        <w:rPr>
          <w:rFonts w:ascii="Arial" w:hAnsi="Arial" w:cs="Arial"/>
          <w:sz w:val="22"/>
          <w:szCs w:val="20"/>
          <w:lang w:val="de-AT"/>
        </w:rPr>
        <w:t>nopausaler Osteoporose. In vier</w:t>
      </w:r>
      <w:r w:rsidRPr="00233B41">
        <w:rPr>
          <w:rFonts w:ascii="Arial" w:hAnsi="Arial" w:cs="Arial"/>
          <w:sz w:val="22"/>
          <w:szCs w:val="20"/>
          <w:lang w:val="de-AT"/>
        </w:rPr>
        <w:t xml:space="preserve"> Phase-III-Studien verbesserte das Präparat die Knochendichte und reduzierte in der so genannten FREEDOM-Studie (</w:t>
      </w:r>
      <w:proofErr w:type="spellStart"/>
      <w:r w:rsidRPr="00233B41">
        <w:rPr>
          <w:rFonts w:ascii="Arial" w:hAnsi="Arial" w:cs="Arial"/>
          <w:sz w:val="22"/>
          <w:szCs w:val="20"/>
          <w:lang w:val="de-AT"/>
        </w:rPr>
        <w:t>Fracture</w:t>
      </w:r>
      <w:proofErr w:type="spellEnd"/>
      <w:r w:rsidRPr="00233B41">
        <w:rPr>
          <w:rFonts w:ascii="Arial" w:hAnsi="Arial" w:cs="Arial"/>
          <w:sz w:val="22"/>
          <w:szCs w:val="20"/>
          <w:lang w:val="de-AT"/>
        </w:rPr>
        <w:t xml:space="preserve"> </w:t>
      </w:r>
      <w:proofErr w:type="spellStart"/>
      <w:r w:rsidRPr="00233B41">
        <w:rPr>
          <w:rFonts w:ascii="Arial" w:hAnsi="Arial" w:cs="Arial"/>
          <w:sz w:val="22"/>
          <w:szCs w:val="20"/>
          <w:lang w:val="de-AT"/>
        </w:rPr>
        <w:t>REduction</w:t>
      </w:r>
      <w:proofErr w:type="spellEnd"/>
      <w:r w:rsidRPr="00233B41">
        <w:rPr>
          <w:rFonts w:ascii="Arial" w:hAnsi="Arial" w:cs="Arial"/>
          <w:sz w:val="22"/>
          <w:szCs w:val="20"/>
          <w:lang w:val="de-AT"/>
        </w:rPr>
        <w:t xml:space="preserve"> Evaluation of </w:t>
      </w:r>
      <w:proofErr w:type="spellStart"/>
      <w:r w:rsidRPr="00233B41">
        <w:rPr>
          <w:rFonts w:ascii="Arial" w:hAnsi="Arial" w:cs="Arial"/>
          <w:sz w:val="22"/>
          <w:szCs w:val="20"/>
          <w:lang w:val="de-AT"/>
        </w:rPr>
        <w:t>Denosumab</w:t>
      </w:r>
      <w:proofErr w:type="spellEnd"/>
      <w:r w:rsidRPr="00233B41">
        <w:rPr>
          <w:rFonts w:ascii="Arial" w:hAnsi="Arial" w:cs="Arial"/>
          <w:sz w:val="22"/>
          <w:szCs w:val="20"/>
          <w:lang w:val="de-AT"/>
        </w:rPr>
        <w:t xml:space="preserve"> in </w:t>
      </w:r>
      <w:proofErr w:type="spellStart"/>
      <w:r w:rsidRPr="00233B41">
        <w:rPr>
          <w:rFonts w:ascii="Arial" w:hAnsi="Arial" w:cs="Arial"/>
          <w:sz w:val="22"/>
          <w:szCs w:val="20"/>
          <w:lang w:val="de-AT"/>
        </w:rPr>
        <w:t>Osteoporosis</w:t>
      </w:r>
      <w:proofErr w:type="spellEnd"/>
      <w:r w:rsidRPr="00233B41">
        <w:rPr>
          <w:rFonts w:ascii="Arial" w:hAnsi="Arial" w:cs="Arial"/>
          <w:sz w:val="22"/>
          <w:szCs w:val="20"/>
          <w:lang w:val="de-AT"/>
        </w:rPr>
        <w:t xml:space="preserve"> </w:t>
      </w:r>
      <w:proofErr w:type="spellStart"/>
      <w:r w:rsidRPr="00233B41">
        <w:rPr>
          <w:rFonts w:ascii="Arial" w:hAnsi="Arial" w:cs="Arial"/>
          <w:sz w:val="22"/>
          <w:szCs w:val="20"/>
          <w:lang w:val="de-AT"/>
        </w:rPr>
        <w:t>every</w:t>
      </w:r>
      <w:proofErr w:type="spellEnd"/>
      <w:r w:rsidRPr="00233B41">
        <w:rPr>
          <w:rFonts w:ascii="Arial" w:hAnsi="Arial" w:cs="Arial"/>
          <w:sz w:val="22"/>
          <w:szCs w:val="20"/>
          <w:lang w:val="de-AT"/>
        </w:rPr>
        <w:t xml:space="preserve"> </w:t>
      </w:r>
      <w:proofErr w:type="spellStart"/>
      <w:r w:rsidRPr="00233B41">
        <w:rPr>
          <w:rFonts w:ascii="Arial" w:hAnsi="Arial" w:cs="Arial"/>
          <w:sz w:val="22"/>
          <w:szCs w:val="20"/>
          <w:lang w:val="de-AT"/>
        </w:rPr>
        <w:t>six</w:t>
      </w:r>
      <w:proofErr w:type="spellEnd"/>
      <w:r w:rsidRPr="00233B41">
        <w:rPr>
          <w:rFonts w:ascii="Arial" w:hAnsi="Arial" w:cs="Arial"/>
          <w:sz w:val="22"/>
          <w:szCs w:val="20"/>
          <w:lang w:val="de-AT"/>
        </w:rPr>
        <w:t xml:space="preserve"> </w:t>
      </w:r>
      <w:proofErr w:type="spellStart"/>
      <w:r w:rsidRPr="00233B41">
        <w:rPr>
          <w:rFonts w:ascii="Arial" w:hAnsi="Arial" w:cs="Arial"/>
          <w:sz w:val="22"/>
          <w:szCs w:val="20"/>
          <w:lang w:val="de-AT"/>
        </w:rPr>
        <w:t>Months</w:t>
      </w:r>
      <w:proofErr w:type="spellEnd"/>
      <w:r w:rsidRPr="00233B41">
        <w:rPr>
          <w:rFonts w:ascii="Arial" w:hAnsi="Arial" w:cs="Arial"/>
          <w:sz w:val="22"/>
          <w:szCs w:val="20"/>
          <w:lang w:val="de-AT"/>
        </w:rPr>
        <w:t xml:space="preserve">) das Risiko für Brüche an Wirbelkörpern, Hüfte und nichtvertebralen Knochen. In den klinischen Studien war das Medikament im Allgemeinen gut verträglich. Die </w:t>
      </w:r>
      <w:proofErr w:type="spellStart"/>
      <w:r w:rsidRPr="00233B41">
        <w:rPr>
          <w:rFonts w:ascii="Arial" w:hAnsi="Arial" w:cs="Arial"/>
          <w:sz w:val="22"/>
          <w:szCs w:val="20"/>
          <w:lang w:val="de-AT"/>
        </w:rPr>
        <w:t>patientInnenfreundliche</w:t>
      </w:r>
      <w:proofErr w:type="spellEnd"/>
      <w:r w:rsidRPr="00233B41">
        <w:rPr>
          <w:rFonts w:ascii="Arial" w:hAnsi="Arial" w:cs="Arial"/>
          <w:sz w:val="22"/>
          <w:szCs w:val="20"/>
          <w:lang w:val="de-AT"/>
        </w:rPr>
        <w:t xml:space="preserve">, zweimal jährliche subkutane Gabe lässt eine gute Compliance erwarten. </w:t>
      </w:r>
    </w:p>
    <w:p w:rsidR="00E66987" w:rsidRPr="00233B41" w:rsidRDefault="00E66987" w:rsidP="008B3630">
      <w:pPr>
        <w:pStyle w:val="StandardWeb"/>
        <w:spacing w:before="360" w:beforeAutospacing="0" w:after="120" w:afterAutospacing="0"/>
        <w:rPr>
          <w:rStyle w:val="normtextstress"/>
          <w:rFonts w:ascii="Arial" w:hAnsi="Arial"/>
          <w:b/>
          <w:sz w:val="22"/>
          <w:lang w:val="de-AT"/>
        </w:rPr>
      </w:pPr>
      <w:proofErr w:type="spellStart"/>
      <w:r w:rsidRPr="00233B41">
        <w:rPr>
          <w:rStyle w:val="normtextstress"/>
          <w:rFonts w:ascii="Arial" w:hAnsi="Arial"/>
          <w:b/>
          <w:sz w:val="22"/>
          <w:lang w:val="de-AT"/>
        </w:rPr>
        <w:lastRenderedPageBreak/>
        <w:t>Denosumab</w:t>
      </w:r>
      <w:proofErr w:type="spellEnd"/>
      <w:r w:rsidRPr="00233B41">
        <w:rPr>
          <w:rStyle w:val="normtextstress"/>
          <w:rFonts w:ascii="Arial" w:hAnsi="Arial"/>
          <w:b/>
          <w:sz w:val="22"/>
          <w:lang w:val="de-AT"/>
        </w:rPr>
        <w:t xml:space="preserve"> wirkt wie </w:t>
      </w:r>
      <w:proofErr w:type="spellStart"/>
      <w:r w:rsidRPr="00233B41">
        <w:rPr>
          <w:rStyle w:val="normtextstress"/>
          <w:rFonts w:ascii="Arial" w:hAnsi="Arial"/>
          <w:b/>
          <w:sz w:val="22"/>
          <w:lang w:val="de-AT"/>
        </w:rPr>
        <w:t>Osteoprotegerin</w:t>
      </w:r>
      <w:proofErr w:type="spellEnd"/>
    </w:p>
    <w:p w:rsidR="00E66987" w:rsidRPr="00233B41" w:rsidRDefault="00E66987" w:rsidP="0019373C">
      <w:pPr>
        <w:spacing w:after="120"/>
        <w:rPr>
          <w:sz w:val="22"/>
          <w:szCs w:val="22"/>
          <w:lang w:val="de-AT"/>
        </w:rPr>
      </w:pPr>
      <w:r w:rsidRPr="00233B41">
        <w:rPr>
          <w:sz w:val="22"/>
          <w:szCs w:val="22"/>
          <w:lang w:val="de-AT"/>
        </w:rPr>
        <w:t xml:space="preserve">RANK-Ligand ist ein Protein, das an Rezeptoren auf der Zelloberfläche von </w:t>
      </w:r>
      <w:proofErr w:type="spellStart"/>
      <w:r w:rsidRPr="00233B41">
        <w:rPr>
          <w:sz w:val="22"/>
          <w:szCs w:val="22"/>
          <w:lang w:val="de-AT"/>
        </w:rPr>
        <w:t>Präosteo</w:t>
      </w:r>
      <w:r w:rsidRPr="00233B41">
        <w:rPr>
          <w:sz w:val="22"/>
          <w:szCs w:val="22"/>
          <w:lang w:val="de-AT"/>
        </w:rPr>
        <w:softHyphen/>
        <w:t>klasten</w:t>
      </w:r>
      <w:proofErr w:type="spellEnd"/>
      <w:r w:rsidRPr="00233B41">
        <w:rPr>
          <w:sz w:val="22"/>
          <w:szCs w:val="22"/>
          <w:lang w:val="de-AT"/>
        </w:rPr>
        <w:t xml:space="preserve"> und </w:t>
      </w:r>
      <w:proofErr w:type="spellStart"/>
      <w:r w:rsidRPr="00233B41">
        <w:rPr>
          <w:sz w:val="22"/>
          <w:szCs w:val="22"/>
          <w:lang w:val="de-AT"/>
        </w:rPr>
        <w:t>Osteoklasten</w:t>
      </w:r>
      <w:proofErr w:type="spellEnd"/>
      <w:r w:rsidRPr="00233B41">
        <w:rPr>
          <w:sz w:val="22"/>
          <w:szCs w:val="22"/>
          <w:lang w:val="de-AT"/>
        </w:rPr>
        <w:t xml:space="preserve"> bindet. Diese Bindung ist für die Entwicklung, Funktion und Lebensdauer dieser knochenabbauenden Zellen essenziell. RANK-Ligand wird seinerseits durch den löslichen Rezeptor </w:t>
      </w:r>
      <w:proofErr w:type="spellStart"/>
      <w:r w:rsidRPr="00233B41">
        <w:rPr>
          <w:sz w:val="22"/>
          <w:szCs w:val="22"/>
          <w:lang w:val="de-AT"/>
        </w:rPr>
        <w:t>Osteoprotegerin</w:t>
      </w:r>
      <w:proofErr w:type="spellEnd"/>
      <w:r w:rsidRPr="00233B41">
        <w:rPr>
          <w:sz w:val="22"/>
          <w:szCs w:val="22"/>
          <w:lang w:val="de-AT"/>
        </w:rPr>
        <w:t xml:space="preserve"> (OPG) gebunden. Ein ausbalanciertes Verhältnis zwischen RANK-Ligand und OPG sorgt dafür, dass sich Knochenauf- und -abbau die Waage halten.</w:t>
      </w:r>
    </w:p>
    <w:p w:rsidR="00E66987" w:rsidRPr="00233B41" w:rsidRDefault="00E66987" w:rsidP="0019373C">
      <w:pPr>
        <w:spacing w:after="120"/>
        <w:rPr>
          <w:sz w:val="22"/>
          <w:szCs w:val="22"/>
          <w:lang w:val="de-AT"/>
        </w:rPr>
      </w:pPr>
      <w:r w:rsidRPr="00233B41">
        <w:rPr>
          <w:sz w:val="22"/>
          <w:szCs w:val="22"/>
          <w:lang w:val="de-AT"/>
        </w:rPr>
        <w:t xml:space="preserve">Durch das Absinken des Östrogenspiegels nach der Menopause gerät dieses Verhältnis aus dem Gleichgewicht, und die RANK-Ligand-Expression überwiegt. Dadurch werden vermehrt </w:t>
      </w:r>
      <w:proofErr w:type="spellStart"/>
      <w:r w:rsidRPr="00233B41">
        <w:rPr>
          <w:sz w:val="22"/>
          <w:szCs w:val="22"/>
          <w:lang w:val="de-AT"/>
        </w:rPr>
        <w:t>Osteoklasten</w:t>
      </w:r>
      <w:proofErr w:type="spellEnd"/>
      <w:r w:rsidRPr="00233B41">
        <w:rPr>
          <w:sz w:val="22"/>
          <w:szCs w:val="22"/>
          <w:lang w:val="de-AT"/>
        </w:rPr>
        <w:t xml:space="preserve"> aktiviert, sodass es zum Knochen</w:t>
      </w:r>
      <w:r w:rsidRPr="00233B41">
        <w:rPr>
          <w:sz w:val="22"/>
          <w:szCs w:val="22"/>
          <w:lang w:val="de-AT"/>
        </w:rPr>
        <w:softHyphen/>
        <w:t>schwund</w:t>
      </w:r>
      <w:bookmarkStart w:id="14" w:name="_Ref259536227"/>
      <w:r w:rsidRPr="00233B41">
        <w:rPr>
          <w:sz w:val="22"/>
          <w:szCs w:val="22"/>
          <w:lang w:val="de-AT"/>
        </w:rPr>
        <w:t xml:space="preserve"> kommt.</w:t>
      </w:r>
      <w:r w:rsidRPr="00233B41">
        <w:rPr>
          <w:rStyle w:val="Endnotenzeichen"/>
          <w:sz w:val="22"/>
          <w:szCs w:val="22"/>
          <w:lang w:val="de-AT"/>
        </w:rPr>
        <w:endnoteReference w:id="1"/>
      </w:r>
      <w:bookmarkEnd w:id="14"/>
      <w:r w:rsidRPr="00233B41">
        <w:rPr>
          <w:sz w:val="22"/>
          <w:szCs w:val="22"/>
          <w:vertAlign w:val="superscript"/>
          <w:lang w:val="de-AT"/>
        </w:rPr>
        <w:t>,</w:t>
      </w:r>
      <w:bookmarkStart w:id="15" w:name="_Ref259536239"/>
      <w:r w:rsidRPr="00233B41">
        <w:rPr>
          <w:rStyle w:val="Endnotenzeichen"/>
          <w:sz w:val="22"/>
          <w:szCs w:val="22"/>
          <w:lang w:val="de-AT"/>
        </w:rPr>
        <w:endnoteReference w:id="2"/>
      </w:r>
      <w:bookmarkEnd w:id="15"/>
      <w:r w:rsidRPr="00233B41">
        <w:rPr>
          <w:sz w:val="22"/>
          <w:szCs w:val="22"/>
          <w:lang w:val="de-AT"/>
        </w:rPr>
        <w:t xml:space="preserve"> </w:t>
      </w:r>
    </w:p>
    <w:p w:rsidR="00E66987" w:rsidRPr="00233B41" w:rsidRDefault="00E66987" w:rsidP="0019373C">
      <w:pPr>
        <w:spacing w:after="120"/>
        <w:rPr>
          <w:sz w:val="22"/>
          <w:szCs w:val="22"/>
          <w:lang w:val="de-AT"/>
        </w:rPr>
      </w:pPr>
      <w:r w:rsidRPr="00233B41">
        <w:rPr>
          <w:sz w:val="22"/>
          <w:szCs w:val="22"/>
          <w:lang w:val="de-AT"/>
        </w:rPr>
        <w:t xml:space="preserve">In dieser Situation übernimmt </w:t>
      </w:r>
      <w:proofErr w:type="spellStart"/>
      <w:r w:rsidRPr="00233B41">
        <w:rPr>
          <w:sz w:val="22"/>
          <w:szCs w:val="22"/>
          <w:lang w:val="de-AT"/>
        </w:rPr>
        <w:t>Denosumab</w:t>
      </w:r>
      <w:proofErr w:type="spellEnd"/>
      <w:r w:rsidRPr="00233B41">
        <w:rPr>
          <w:sz w:val="22"/>
          <w:szCs w:val="22"/>
          <w:lang w:val="de-AT"/>
        </w:rPr>
        <w:t xml:space="preserve"> die Rolle von </w:t>
      </w:r>
      <w:proofErr w:type="spellStart"/>
      <w:r w:rsidRPr="00233B41">
        <w:rPr>
          <w:sz w:val="22"/>
          <w:szCs w:val="22"/>
          <w:lang w:val="de-AT"/>
        </w:rPr>
        <w:t>OPG.</w:t>
      </w:r>
      <w:fldSimple w:instr=" NOTEREF _Ref259536227 \h  \* MERGEFORMAT ">
        <w:r w:rsidRPr="00713F52">
          <w:rPr>
            <w:sz w:val="22"/>
            <w:szCs w:val="22"/>
            <w:vertAlign w:val="superscript"/>
            <w:lang w:val="de-AT"/>
          </w:rPr>
          <w:t>i</w:t>
        </w:r>
      </w:fldSimple>
      <w:proofErr w:type="gramStart"/>
      <w:r w:rsidRPr="00233B41">
        <w:rPr>
          <w:sz w:val="22"/>
          <w:szCs w:val="22"/>
          <w:vertAlign w:val="superscript"/>
          <w:lang w:val="de-AT"/>
        </w:rPr>
        <w:t>,</w:t>
      </w:r>
      <w:proofErr w:type="gramEnd"/>
      <w:r w:rsidR="00C41FAB">
        <w:fldChar w:fldCharType="begin"/>
      </w:r>
      <w:r w:rsidR="00C41FAB">
        <w:instrText xml:space="preserve"> NOTEREF _Ref259536239 \h  \* MERGEFORMAT </w:instrText>
      </w:r>
      <w:r w:rsidR="00C41FAB">
        <w:fldChar w:fldCharType="separate"/>
      </w:r>
      <w:r w:rsidRPr="00713F52">
        <w:rPr>
          <w:sz w:val="22"/>
          <w:szCs w:val="22"/>
          <w:vertAlign w:val="superscript"/>
          <w:lang w:val="de-AT"/>
        </w:rPr>
        <w:t>ii</w:t>
      </w:r>
      <w:proofErr w:type="spellEnd"/>
      <w:r w:rsidR="00C41FAB">
        <w:fldChar w:fldCharType="end"/>
      </w:r>
      <w:r w:rsidRPr="00233B41">
        <w:rPr>
          <w:sz w:val="22"/>
          <w:szCs w:val="22"/>
          <w:lang w:val="de-AT"/>
        </w:rPr>
        <w:t xml:space="preserve"> Es beseitigt den RANK-Ligand-Überschuss und verhindert eine übermäßige Knochenresorption. </w:t>
      </w:r>
    </w:p>
    <w:p w:rsidR="00E66987" w:rsidRPr="00233B41" w:rsidRDefault="00E66987" w:rsidP="008B3630">
      <w:pPr>
        <w:pStyle w:val="StandardWeb"/>
        <w:spacing w:before="360" w:beforeAutospacing="0" w:after="120" w:afterAutospacing="0"/>
        <w:rPr>
          <w:rStyle w:val="normtextstress"/>
          <w:rFonts w:ascii="Arial" w:hAnsi="Arial"/>
          <w:b/>
          <w:sz w:val="22"/>
          <w:lang w:val="de-AT"/>
        </w:rPr>
      </w:pPr>
      <w:r w:rsidRPr="00233B41">
        <w:rPr>
          <w:rStyle w:val="normtextstress"/>
          <w:rFonts w:ascii="Arial" w:hAnsi="Arial"/>
          <w:b/>
          <w:sz w:val="22"/>
          <w:lang w:val="de-AT"/>
        </w:rPr>
        <w:t>Höhere Knochendichte, geringeres Frakturrisiko</w:t>
      </w:r>
    </w:p>
    <w:p w:rsidR="00E66987" w:rsidRPr="00233B41" w:rsidRDefault="00E66987" w:rsidP="0019373C">
      <w:pPr>
        <w:spacing w:after="120"/>
        <w:rPr>
          <w:sz w:val="22"/>
          <w:szCs w:val="22"/>
          <w:lang w:val="de-AT"/>
        </w:rPr>
      </w:pPr>
      <w:r w:rsidRPr="00233B41">
        <w:rPr>
          <w:sz w:val="22"/>
          <w:szCs w:val="22"/>
          <w:lang w:val="de-AT"/>
        </w:rPr>
        <w:t xml:space="preserve">Dieser Wirkmechanismus ist auch in der Praxis hocheffektiv. Das belegen klinische Studien an über 10.000 postmenopausalen Frauen, die an niedriger Knochendichte beziehungsweise Osteoporose erkrankt waren. </w:t>
      </w:r>
    </w:p>
    <w:p w:rsidR="00E66987" w:rsidRPr="00233B41" w:rsidRDefault="00E66987" w:rsidP="0019373C">
      <w:pPr>
        <w:spacing w:after="120"/>
        <w:rPr>
          <w:sz w:val="22"/>
          <w:szCs w:val="22"/>
          <w:lang w:val="de-AT"/>
        </w:rPr>
      </w:pPr>
      <w:r w:rsidRPr="00233B41">
        <w:rPr>
          <w:sz w:val="22"/>
          <w:szCs w:val="22"/>
          <w:lang w:val="de-AT"/>
        </w:rPr>
        <w:t xml:space="preserve">So erhöhte </w:t>
      </w:r>
      <w:proofErr w:type="spellStart"/>
      <w:r w:rsidRPr="00233B41">
        <w:rPr>
          <w:sz w:val="22"/>
          <w:szCs w:val="22"/>
          <w:lang w:val="de-AT"/>
        </w:rPr>
        <w:t>Denosumab</w:t>
      </w:r>
      <w:proofErr w:type="spellEnd"/>
      <w:r w:rsidRPr="00233B41">
        <w:rPr>
          <w:sz w:val="22"/>
          <w:szCs w:val="22"/>
          <w:lang w:val="de-AT"/>
        </w:rPr>
        <w:t xml:space="preserve"> in der </w:t>
      </w:r>
      <w:r w:rsidRPr="00233B41">
        <w:rPr>
          <w:b/>
          <w:sz w:val="22"/>
          <w:szCs w:val="22"/>
          <w:lang w:val="de-AT"/>
        </w:rPr>
        <w:t>DEFEND-Studie</w:t>
      </w:r>
      <w:r w:rsidRPr="00233B41">
        <w:rPr>
          <w:sz w:val="22"/>
          <w:szCs w:val="22"/>
          <w:lang w:val="de-AT"/>
        </w:rPr>
        <w:t xml:space="preserve"> (</w:t>
      </w:r>
      <w:proofErr w:type="spellStart"/>
      <w:r w:rsidRPr="00233B41">
        <w:rPr>
          <w:sz w:val="22"/>
          <w:szCs w:val="22"/>
          <w:u w:val="single"/>
          <w:lang w:val="de-AT"/>
        </w:rPr>
        <w:t>De</w:t>
      </w:r>
      <w:r w:rsidRPr="00233B41">
        <w:rPr>
          <w:sz w:val="22"/>
          <w:szCs w:val="22"/>
          <w:lang w:val="de-AT"/>
        </w:rPr>
        <w:t>nosumab</w:t>
      </w:r>
      <w:proofErr w:type="spellEnd"/>
      <w:r w:rsidRPr="00233B41">
        <w:rPr>
          <w:sz w:val="22"/>
          <w:szCs w:val="22"/>
          <w:lang w:val="de-AT"/>
        </w:rPr>
        <w:t xml:space="preserve"> Evaluation </w:t>
      </w:r>
      <w:proofErr w:type="spellStart"/>
      <w:r w:rsidRPr="00233B41">
        <w:rPr>
          <w:sz w:val="22"/>
          <w:szCs w:val="22"/>
          <w:u w:val="single"/>
          <w:lang w:val="de-AT"/>
        </w:rPr>
        <w:t>F</w:t>
      </w:r>
      <w:r w:rsidRPr="00233B41">
        <w:rPr>
          <w:sz w:val="22"/>
          <w:szCs w:val="22"/>
          <w:lang w:val="de-AT"/>
        </w:rPr>
        <w:t>or</w:t>
      </w:r>
      <w:proofErr w:type="spellEnd"/>
      <w:r w:rsidRPr="00233B41">
        <w:rPr>
          <w:sz w:val="22"/>
          <w:szCs w:val="22"/>
          <w:lang w:val="de-AT"/>
        </w:rPr>
        <w:t xml:space="preserve"> </w:t>
      </w:r>
      <w:proofErr w:type="spellStart"/>
      <w:r w:rsidRPr="00233B41">
        <w:rPr>
          <w:sz w:val="22"/>
          <w:szCs w:val="22"/>
          <w:lang w:val="de-AT"/>
        </w:rPr>
        <w:t>Pr</w:t>
      </w:r>
      <w:r w:rsidRPr="00233B41">
        <w:rPr>
          <w:sz w:val="22"/>
          <w:szCs w:val="22"/>
          <w:u w:val="single"/>
          <w:lang w:val="de-AT"/>
        </w:rPr>
        <w:t>e</w:t>
      </w:r>
      <w:r w:rsidRPr="00233B41">
        <w:rPr>
          <w:sz w:val="22"/>
          <w:szCs w:val="22"/>
          <w:lang w:val="de-AT"/>
        </w:rPr>
        <w:t>serving</w:t>
      </w:r>
      <w:proofErr w:type="spellEnd"/>
      <w:r w:rsidRPr="00233B41">
        <w:rPr>
          <w:sz w:val="22"/>
          <w:szCs w:val="22"/>
          <w:lang w:val="de-AT"/>
        </w:rPr>
        <w:t xml:space="preserve"> </w:t>
      </w:r>
      <w:proofErr w:type="spellStart"/>
      <w:r w:rsidRPr="00233B41">
        <w:rPr>
          <w:sz w:val="22"/>
          <w:szCs w:val="22"/>
          <w:lang w:val="de-AT"/>
        </w:rPr>
        <w:t>Bo</w:t>
      </w:r>
      <w:r w:rsidRPr="00233B41">
        <w:rPr>
          <w:sz w:val="22"/>
          <w:szCs w:val="22"/>
          <w:u w:val="single"/>
          <w:lang w:val="de-AT"/>
        </w:rPr>
        <w:t>n</w:t>
      </w:r>
      <w:r w:rsidRPr="00233B41">
        <w:rPr>
          <w:sz w:val="22"/>
          <w:szCs w:val="22"/>
          <w:lang w:val="de-AT"/>
        </w:rPr>
        <w:t>e</w:t>
      </w:r>
      <w:proofErr w:type="spellEnd"/>
      <w:r w:rsidRPr="00233B41">
        <w:rPr>
          <w:sz w:val="22"/>
          <w:szCs w:val="22"/>
          <w:lang w:val="de-AT"/>
        </w:rPr>
        <w:t xml:space="preserve"> </w:t>
      </w:r>
      <w:proofErr w:type="spellStart"/>
      <w:r w:rsidRPr="00233B41">
        <w:rPr>
          <w:sz w:val="22"/>
          <w:szCs w:val="22"/>
          <w:u w:val="single"/>
          <w:lang w:val="de-AT"/>
        </w:rPr>
        <w:t>D</w:t>
      </w:r>
      <w:r w:rsidRPr="00233B41">
        <w:rPr>
          <w:sz w:val="22"/>
          <w:szCs w:val="22"/>
          <w:lang w:val="de-AT"/>
        </w:rPr>
        <w:t>ensity</w:t>
      </w:r>
      <w:proofErr w:type="spellEnd"/>
      <w:r w:rsidRPr="00233B41">
        <w:rPr>
          <w:sz w:val="22"/>
          <w:szCs w:val="22"/>
          <w:lang w:val="de-AT"/>
        </w:rPr>
        <w:t>) die Knochendichte an allen gemessenen Skelettlokalisationen gegenüber Placebo signifikant.</w:t>
      </w:r>
      <w:r w:rsidRPr="00233B41">
        <w:rPr>
          <w:rStyle w:val="Endnotenzeichen"/>
          <w:sz w:val="22"/>
          <w:szCs w:val="22"/>
          <w:lang w:val="de-AT"/>
        </w:rPr>
        <w:endnoteReference w:id="3"/>
      </w:r>
      <w:r w:rsidRPr="00233B41">
        <w:rPr>
          <w:sz w:val="22"/>
          <w:szCs w:val="22"/>
          <w:lang w:val="de-AT"/>
        </w:rPr>
        <w:t xml:space="preserve"> In der FREEDOM-Studie – mit 7.868 Teilnehmer</w:t>
      </w:r>
      <w:r w:rsidRPr="00233B41">
        <w:rPr>
          <w:sz w:val="22"/>
          <w:szCs w:val="22"/>
          <w:lang w:val="de-AT"/>
        </w:rPr>
        <w:softHyphen/>
        <w:t xml:space="preserve">innen eine der größten Zulassungsstudien bei postmenopausaler Osteoporose – senkte </w:t>
      </w:r>
      <w:proofErr w:type="spellStart"/>
      <w:r w:rsidRPr="00233B41">
        <w:rPr>
          <w:sz w:val="22"/>
          <w:szCs w:val="22"/>
          <w:lang w:val="de-AT"/>
        </w:rPr>
        <w:t>Denosumab</w:t>
      </w:r>
      <w:proofErr w:type="spellEnd"/>
      <w:r w:rsidRPr="00233B41">
        <w:rPr>
          <w:sz w:val="22"/>
          <w:szCs w:val="22"/>
          <w:lang w:val="de-AT"/>
        </w:rPr>
        <w:t xml:space="preserve"> das Frakturrisiko im Vergleich zu Placebo signifikant</w:t>
      </w:r>
      <w:bookmarkStart w:id="16" w:name="_Ref259539113"/>
      <w:r w:rsidRPr="00233B41">
        <w:rPr>
          <w:sz w:val="22"/>
          <w:szCs w:val="22"/>
          <w:lang w:val="de-AT"/>
        </w:rPr>
        <w:t>.</w:t>
      </w:r>
      <w:r w:rsidRPr="00233B41">
        <w:rPr>
          <w:rStyle w:val="Endnotenzeichen"/>
          <w:sz w:val="22"/>
          <w:szCs w:val="22"/>
          <w:lang w:val="de-AT"/>
        </w:rPr>
        <w:endnoteReference w:id="4"/>
      </w:r>
      <w:bookmarkEnd w:id="16"/>
      <w:r w:rsidRPr="00233B41">
        <w:rPr>
          <w:sz w:val="22"/>
          <w:szCs w:val="22"/>
          <w:lang w:val="de-AT"/>
        </w:rPr>
        <w:t xml:space="preserve"> Die relative Risikoreduktion für neue Wirbelkörperfrakturen betrug 68 Prozent, für Hüftfrakturen 40 Prozent und für nichtvertebrale Frakturen 20 Prozent. </w:t>
      </w:r>
    </w:p>
    <w:p w:rsidR="00E66987" w:rsidRPr="00233B41" w:rsidRDefault="00E66987" w:rsidP="0019373C">
      <w:pPr>
        <w:spacing w:after="120"/>
        <w:rPr>
          <w:sz w:val="22"/>
          <w:szCs w:val="22"/>
          <w:lang w:val="de-AT"/>
        </w:rPr>
      </w:pPr>
      <w:r>
        <w:rPr>
          <w:sz w:val="22"/>
          <w:szCs w:val="22"/>
          <w:lang w:val="de-AT"/>
        </w:rPr>
        <w:t>Zwei</w:t>
      </w:r>
      <w:r w:rsidRPr="00233B41">
        <w:rPr>
          <w:sz w:val="22"/>
          <w:szCs w:val="22"/>
          <w:lang w:val="de-AT"/>
        </w:rPr>
        <w:t xml:space="preserve"> Vergleichsstudie</w:t>
      </w:r>
      <w:r>
        <w:rPr>
          <w:sz w:val="22"/>
          <w:szCs w:val="22"/>
          <w:lang w:val="de-AT"/>
        </w:rPr>
        <w:t>n</w:t>
      </w:r>
      <w:r w:rsidRPr="00233B41">
        <w:rPr>
          <w:sz w:val="22"/>
          <w:szCs w:val="22"/>
          <w:lang w:val="de-AT"/>
        </w:rPr>
        <w:t xml:space="preserve"> zeigte</w:t>
      </w:r>
      <w:r>
        <w:rPr>
          <w:sz w:val="22"/>
          <w:szCs w:val="22"/>
          <w:lang w:val="de-AT"/>
        </w:rPr>
        <w:t>n</w:t>
      </w:r>
      <w:r w:rsidRPr="00233B41">
        <w:rPr>
          <w:sz w:val="22"/>
          <w:szCs w:val="22"/>
          <w:lang w:val="de-AT"/>
        </w:rPr>
        <w:t xml:space="preserve">, dass </w:t>
      </w:r>
      <w:proofErr w:type="spellStart"/>
      <w:r w:rsidRPr="00233B41">
        <w:rPr>
          <w:sz w:val="22"/>
          <w:szCs w:val="22"/>
          <w:lang w:val="de-AT"/>
        </w:rPr>
        <w:t>Denosumab</w:t>
      </w:r>
      <w:proofErr w:type="spellEnd"/>
      <w:r w:rsidRPr="00233B41">
        <w:rPr>
          <w:sz w:val="22"/>
          <w:szCs w:val="22"/>
          <w:lang w:val="de-AT"/>
        </w:rPr>
        <w:t xml:space="preserve"> die Knochendichte auch signifikant stärker erhöhte als das </w:t>
      </w:r>
      <w:proofErr w:type="spellStart"/>
      <w:r w:rsidRPr="00233B41">
        <w:rPr>
          <w:sz w:val="22"/>
          <w:szCs w:val="22"/>
          <w:lang w:val="de-AT"/>
        </w:rPr>
        <w:t>Bisphosphonat</w:t>
      </w:r>
      <w:proofErr w:type="spellEnd"/>
      <w:r w:rsidRPr="00233B41">
        <w:rPr>
          <w:sz w:val="22"/>
          <w:szCs w:val="22"/>
          <w:lang w:val="de-AT"/>
        </w:rPr>
        <w:t xml:space="preserve"> </w:t>
      </w:r>
      <w:proofErr w:type="spellStart"/>
      <w:r w:rsidRPr="00233B41">
        <w:rPr>
          <w:sz w:val="22"/>
          <w:szCs w:val="22"/>
          <w:lang w:val="de-AT"/>
        </w:rPr>
        <w:t>Alendronat</w:t>
      </w:r>
      <w:proofErr w:type="spellEnd"/>
      <w:r w:rsidRPr="00233B41">
        <w:rPr>
          <w:sz w:val="22"/>
          <w:szCs w:val="22"/>
          <w:lang w:val="de-AT"/>
        </w:rPr>
        <w:t>.</w:t>
      </w:r>
      <w:r w:rsidRPr="00233B41">
        <w:rPr>
          <w:rStyle w:val="Endnotenzeichen"/>
          <w:sz w:val="22"/>
          <w:szCs w:val="22"/>
          <w:lang w:val="de-AT"/>
        </w:rPr>
        <w:endnoteReference w:id="5"/>
      </w:r>
      <w:r w:rsidRPr="00233B41">
        <w:rPr>
          <w:sz w:val="22"/>
          <w:szCs w:val="22"/>
          <w:vertAlign w:val="superscript"/>
          <w:lang w:val="de-AT"/>
        </w:rPr>
        <w:t>,</w:t>
      </w:r>
      <w:r w:rsidRPr="00233B41">
        <w:rPr>
          <w:rStyle w:val="Endnotenzeichen"/>
          <w:sz w:val="22"/>
          <w:szCs w:val="22"/>
          <w:lang w:val="de-AT"/>
        </w:rPr>
        <w:endnoteReference w:id="6"/>
      </w:r>
      <w:r w:rsidRPr="00233B41">
        <w:rPr>
          <w:sz w:val="22"/>
          <w:szCs w:val="22"/>
          <w:lang w:val="de-AT"/>
        </w:rPr>
        <w:t xml:space="preserve"> </w:t>
      </w:r>
    </w:p>
    <w:p w:rsidR="00E66987" w:rsidRPr="00233B41" w:rsidRDefault="00E66987" w:rsidP="00D27B85">
      <w:pPr>
        <w:pStyle w:val="StandardWeb"/>
        <w:spacing w:before="360" w:beforeAutospacing="0" w:after="120" w:afterAutospacing="0"/>
        <w:rPr>
          <w:rStyle w:val="normtextstress"/>
          <w:rFonts w:ascii="Arial" w:hAnsi="Arial"/>
          <w:b/>
          <w:sz w:val="22"/>
          <w:lang w:val="de-AT"/>
        </w:rPr>
      </w:pPr>
      <w:r w:rsidRPr="00233B41">
        <w:rPr>
          <w:rStyle w:val="normtextstress"/>
          <w:rFonts w:ascii="Arial" w:hAnsi="Arial"/>
          <w:b/>
          <w:sz w:val="22"/>
          <w:lang w:val="de-AT"/>
        </w:rPr>
        <w:t>Wirksam und sicher auch in der Langzeitanwendung</w:t>
      </w:r>
    </w:p>
    <w:p w:rsidR="00E66987" w:rsidRPr="00233B41" w:rsidRDefault="00E66987" w:rsidP="009C37A0">
      <w:pPr>
        <w:pStyle w:val="StandardWeb"/>
        <w:spacing w:before="0" w:beforeAutospacing="0" w:after="120" w:afterAutospacing="0"/>
        <w:rPr>
          <w:rFonts w:ascii="Arial" w:hAnsi="Arial" w:cs="Arial"/>
          <w:sz w:val="22"/>
          <w:szCs w:val="20"/>
          <w:lang w:val="de-AT"/>
        </w:rPr>
      </w:pPr>
      <w:proofErr w:type="spellStart"/>
      <w:r w:rsidRPr="00233B41">
        <w:rPr>
          <w:rFonts w:ascii="Arial" w:hAnsi="Arial" w:cs="Arial"/>
          <w:sz w:val="22"/>
          <w:szCs w:val="20"/>
          <w:lang w:val="de-AT"/>
        </w:rPr>
        <w:t>Denosumab</w:t>
      </w:r>
      <w:proofErr w:type="spellEnd"/>
      <w:r w:rsidRPr="00233B41">
        <w:rPr>
          <w:rFonts w:ascii="Arial" w:hAnsi="Arial" w:cs="Arial"/>
          <w:sz w:val="22"/>
          <w:szCs w:val="20"/>
          <w:lang w:val="de-AT"/>
        </w:rPr>
        <w:t xml:space="preserve"> ist zugelassen für die Behandlung der Osteoporose bei postmeno</w:t>
      </w:r>
      <w:r w:rsidRPr="00233B41">
        <w:rPr>
          <w:rFonts w:ascii="Arial" w:hAnsi="Arial" w:cs="Arial"/>
          <w:sz w:val="22"/>
          <w:szCs w:val="20"/>
          <w:lang w:val="de-AT"/>
        </w:rPr>
        <w:softHyphen/>
        <w:t xml:space="preserve">pausalen Frauen mit erhöhtem Frakturrisiko. Es vermindert signifikant das Risiko für vertebrale, nicht-vertebrale und Hüftfrakturen. </w:t>
      </w:r>
    </w:p>
    <w:p w:rsidR="00E66987" w:rsidRPr="00233B41" w:rsidRDefault="00E66987" w:rsidP="0019373C">
      <w:pPr>
        <w:spacing w:after="120"/>
        <w:rPr>
          <w:sz w:val="22"/>
          <w:szCs w:val="22"/>
          <w:lang w:val="de-AT"/>
        </w:rPr>
      </w:pPr>
      <w:r w:rsidRPr="00233B41">
        <w:rPr>
          <w:sz w:val="22"/>
          <w:szCs w:val="22"/>
          <w:lang w:val="de-AT"/>
        </w:rPr>
        <w:t xml:space="preserve">Mittlerweile liegen für </w:t>
      </w:r>
      <w:proofErr w:type="spellStart"/>
      <w:r w:rsidRPr="00233B41">
        <w:rPr>
          <w:sz w:val="22"/>
          <w:szCs w:val="22"/>
          <w:lang w:val="de-AT"/>
        </w:rPr>
        <w:t>Denosumab</w:t>
      </w:r>
      <w:proofErr w:type="spellEnd"/>
      <w:r w:rsidRPr="00233B41">
        <w:rPr>
          <w:sz w:val="22"/>
          <w:szCs w:val="22"/>
          <w:lang w:val="de-AT"/>
        </w:rPr>
        <w:t xml:space="preserve"> Studiendaten über eine Behandlungsdauer von bis zu sechs Jahren vor. In einer 4-jährigen </w:t>
      </w:r>
      <w:r>
        <w:rPr>
          <w:sz w:val="22"/>
          <w:szCs w:val="22"/>
          <w:lang w:val="de-AT"/>
        </w:rPr>
        <w:t>Phase II-</w:t>
      </w:r>
      <w:r w:rsidRPr="00233B41">
        <w:rPr>
          <w:sz w:val="22"/>
          <w:szCs w:val="22"/>
          <w:lang w:val="de-AT"/>
        </w:rPr>
        <w:t>Studie</w:t>
      </w:r>
      <w:r w:rsidRPr="00233B41">
        <w:rPr>
          <w:rStyle w:val="Endnotenzeichen"/>
          <w:sz w:val="22"/>
          <w:szCs w:val="22"/>
          <w:lang w:val="de-AT"/>
        </w:rPr>
        <w:endnoteReference w:id="7"/>
      </w:r>
      <w:r w:rsidRPr="00233B41">
        <w:rPr>
          <w:sz w:val="22"/>
          <w:szCs w:val="22"/>
          <w:lang w:val="de-AT"/>
        </w:rPr>
        <w:t xml:space="preserve"> erhöhte </w:t>
      </w:r>
      <w:proofErr w:type="spellStart"/>
      <w:r w:rsidRPr="00233B41">
        <w:rPr>
          <w:sz w:val="22"/>
          <w:szCs w:val="22"/>
          <w:lang w:val="de-AT"/>
        </w:rPr>
        <w:t>Denosumab</w:t>
      </w:r>
      <w:proofErr w:type="spellEnd"/>
      <w:r w:rsidRPr="00233B41">
        <w:rPr>
          <w:sz w:val="22"/>
          <w:szCs w:val="22"/>
          <w:lang w:val="de-AT"/>
        </w:rPr>
        <w:t xml:space="preserve"> die Knochendichte an der Lendenwirbelsäule um 9,4 bis 11,8 Prozent, an der Hüfte um 4,0 bis 6,1 Prozent und am distalen Radius um 1,0 bis 1,7 Prozent (Placebo -2,4 bzw. -3,5 bzw. -4,7 Prozent). Die Erhöhung der Knochendichte war im Vergleich zu Placebo signifikant. Darüber hinaus wurden auch die Konzentrationen von Knochenumbaumarkern über die gesamten vier Jahre hinweg reduziert. </w:t>
      </w:r>
    </w:p>
    <w:p w:rsidR="00E66987" w:rsidRPr="00233B41" w:rsidRDefault="00E66987" w:rsidP="0019373C">
      <w:pPr>
        <w:spacing w:after="120"/>
        <w:rPr>
          <w:sz w:val="22"/>
          <w:szCs w:val="22"/>
          <w:lang w:val="de-AT"/>
        </w:rPr>
      </w:pPr>
      <w:r w:rsidRPr="00233B41">
        <w:rPr>
          <w:sz w:val="22"/>
          <w:szCs w:val="22"/>
          <w:lang w:val="de-AT"/>
        </w:rPr>
        <w:t xml:space="preserve">In einer offenen Verlängerung dieser Studie konnte gezeigt werden, dass </w:t>
      </w:r>
      <w:proofErr w:type="spellStart"/>
      <w:r w:rsidRPr="00233B41">
        <w:rPr>
          <w:sz w:val="22"/>
          <w:szCs w:val="22"/>
          <w:lang w:val="de-AT"/>
        </w:rPr>
        <w:t>Denosumab</w:t>
      </w:r>
      <w:proofErr w:type="spellEnd"/>
      <w:r w:rsidRPr="00233B41">
        <w:rPr>
          <w:sz w:val="22"/>
          <w:szCs w:val="22"/>
          <w:lang w:val="de-AT"/>
        </w:rPr>
        <w:t xml:space="preserve"> die Knochendichte weiter erhöhte und gut verträglich war.</w:t>
      </w:r>
      <w:r w:rsidRPr="00233B41">
        <w:rPr>
          <w:rStyle w:val="Endnotenzeichen"/>
          <w:sz w:val="22"/>
          <w:szCs w:val="22"/>
          <w:lang w:val="de-AT"/>
        </w:rPr>
        <w:endnoteReference w:id="8"/>
      </w:r>
      <w:r w:rsidRPr="00233B41">
        <w:rPr>
          <w:sz w:val="22"/>
          <w:szCs w:val="22"/>
          <w:lang w:val="de-AT"/>
        </w:rPr>
        <w:t xml:space="preserve"> Bei </w:t>
      </w:r>
      <w:proofErr w:type="spellStart"/>
      <w:r w:rsidRPr="00233B41">
        <w:rPr>
          <w:sz w:val="22"/>
          <w:szCs w:val="22"/>
          <w:lang w:val="de-AT"/>
        </w:rPr>
        <w:t>PatientInnen</w:t>
      </w:r>
      <w:proofErr w:type="spellEnd"/>
      <w:r w:rsidRPr="00233B41">
        <w:rPr>
          <w:sz w:val="22"/>
          <w:szCs w:val="22"/>
          <w:lang w:val="de-AT"/>
        </w:rPr>
        <w:t xml:space="preserve">, die den </w:t>
      </w:r>
      <w:r>
        <w:rPr>
          <w:sz w:val="22"/>
          <w:szCs w:val="22"/>
          <w:lang w:val="de-AT"/>
        </w:rPr>
        <w:t xml:space="preserve">RANK-Ligand Inhibitor </w:t>
      </w:r>
      <w:r w:rsidRPr="00233B41">
        <w:rPr>
          <w:sz w:val="22"/>
          <w:szCs w:val="22"/>
          <w:lang w:val="de-AT"/>
        </w:rPr>
        <w:t xml:space="preserve">über den ganzen Behandlungszeitraum von sechs Jahren erhalten hatten, </w:t>
      </w:r>
      <w:r>
        <w:rPr>
          <w:sz w:val="22"/>
          <w:szCs w:val="22"/>
          <w:lang w:val="de-AT"/>
        </w:rPr>
        <w:t>w</w:t>
      </w:r>
      <w:r w:rsidRPr="00233B41">
        <w:rPr>
          <w:sz w:val="22"/>
          <w:szCs w:val="22"/>
          <w:lang w:val="de-AT"/>
        </w:rPr>
        <w:t>ar die Knochendichte an der Lendenwirbelsäule im Mittel um 13,</w:t>
      </w:r>
      <w:r>
        <w:rPr>
          <w:sz w:val="22"/>
          <w:szCs w:val="22"/>
          <w:lang w:val="de-AT"/>
        </w:rPr>
        <w:t>3</w:t>
      </w:r>
      <w:r w:rsidRPr="00233B41">
        <w:rPr>
          <w:sz w:val="22"/>
          <w:szCs w:val="22"/>
          <w:lang w:val="de-AT"/>
        </w:rPr>
        <w:t xml:space="preserve"> Prozent erhöht. Die Konzentrationen von Knochenumbaumarkern waren während des gesamten Zeitraums erniedrigt.</w:t>
      </w:r>
      <w:r w:rsidRPr="0079209D">
        <w:rPr>
          <w:rFonts w:cs="Arial"/>
          <w:vertAlign w:val="superscript"/>
          <w:lang w:val="de-AT"/>
        </w:rPr>
        <w:t xml:space="preserve"> </w:t>
      </w:r>
      <w:proofErr w:type="spellStart"/>
      <w:r w:rsidRPr="0079209D">
        <w:rPr>
          <w:sz w:val="22"/>
          <w:szCs w:val="22"/>
          <w:vertAlign w:val="superscript"/>
          <w:lang w:val="de-AT"/>
        </w:rPr>
        <w:t>viii</w:t>
      </w:r>
      <w:proofErr w:type="spellEnd"/>
      <w:r w:rsidRPr="00233B41">
        <w:rPr>
          <w:sz w:val="22"/>
          <w:szCs w:val="22"/>
          <w:vertAlign w:val="superscript"/>
          <w:lang w:val="de-AT"/>
        </w:rPr>
        <w:t xml:space="preserve"> </w:t>
      </w:r>
    </w:p>
    <w:p w:rsidR="00E66987" w:rsidRPr="00233B41" w:rsidRDefault="00E66987" w:rsidP="00D27B85">
      <w:pPr>
        <w:pStyle w:val="StandardWeb"/>
        <w:spacing w:before="360" w:beforeAutospacing="0" w:after="120" w:afterAutospacing="0"/>
        <w:rPr>
          <w:rStyle w:val="normtextstress"/>
          <w:rFonts w:ascii="Arial" w:hAnsi="Arial"/>
          <w:b/>
          <w:sz w:val="22"/>
          <w:lang w:val="de-AT"/>
        </w:rPr>
      </w:pPr>
      <w:r w:rsidRPr="00233B41">
        <w:rPr>
          <w:rStyle w:val="normtextstress"/>
          <w:rFonts w:ascii="Arial" w:hAnsi="Arial"/>
          <w:b/>
          <w:sz w:val="22"/>
          <w:lang w:val="de-AT"/>
        </w:rPr>
        <w:lastRenderedPageBreak/>
        <w:t>Sicherheit und Verträglichkeit</w:t>
      </w:r>
    </w:p>
    <w:p w:rsidR="00E66987" w:rsidRDefault="00E66987" w:rsidP="0019373C">
      <w:pPr>
        <w:spacing w:after="120"/>
        <w:rPr>
          <w:sz w:val="22"/>
          <w:szCs w:val="22"/>
          <w:lang w:val="de-AT"/>
        </w:rPr>
      </w:pPr>
      <w:r w:rsidRPr="00233B41">
        <w:rPr>
          <w:sz w:val="22"/>
          <w:szCs w:val="22"/>
          <w:lang w:val="de-AT"/>
        </w:rPr>
        <w:t xml:space="preserve">Die Sicherheit von </w:t>
      </w:r>
      <w:proofErr w:type="spellStart"/>
      <w:r w:rsidRPr="00233B41">
        <w:rPr>
          <w:sz w:val="22"/>
          <w:szCs w:val="22"/>
          <w:lang w:val="de-AT"/>
        </w:rPr>
        <w:t>Denosumab</w:t>
      </w:r>
      <w:proofErr w:type="spellEnd"/>
      <w:r w:rsidRPr="00233B41">
        <w:rPr>
          <w:sz w:val="22"/>
          <w:szCs w:val="22"/>
          <w:lang w:val="de-AT"/>
        </w:rPr>
        <w:t xml:space="preserve"> wurde in </w:t>
      </w:r>
      <w:proofErr w:type="spellStart"/>
      <w:r>
        <w:rPr>
          <w:sz w:val="22"/>
          <w:szCs w:val="22"/>
          <w:lang w:val="de-AT"/>
        </w:rPr>
        <w:t>p</w:t>
      </w:r>
      <w:r w:rsidRPr="00233B41">
        <w:rPr>
          <w:sz w:val="22"/>
          <w:szCs w:val="22"/>
          <w:lang w:val="de-AT"/>
        </w:rPr>
        <w:t>lacebo</w:t>
      </w:r>
      <w:proofErr w:type="spellEnd"/>
      <w:r w:rsidRPr="00233B41">
        <w:rPr>
          <w:sz w:val="22"/>
          <w:szCs w:val="22"/>
          <w:lang w:val="de-AT"/>
        </w:rPr>
        <w:t xml:space="preserve">-kontrollierten klinischen Studien der Phase II und III bei 10.534 postmenopausalen Frauen mit Osteoporose (bis zu einer Dauer von fünf Jahren) und bei </w:t>
      </w:r>
      <w:proofErr w:type="spellStart"/>
      <w:r w:rsidRPr="00233B41">
        <w:rPr>
          <w:sz w:val="22"/>
          <w:szCs w:val="22"/>
          <w:lang w:val="de-AT"/>
        </w:rPr>
        <w:t>PatientInnen</w:t>
      </w:r>
      <w:proofErr w:type="spellEnd"/>
      <w:r w:rsidRPr="00233B41">
        <w:rPr>
          <w:sz w:val="22"/>
          <w:szCs w:val="22"/>
          <w:lang w:val="de-AT"/>
        </w:rPr>
        <w:t xml:space="preserve"> mit Mamma- oder Prostatakarzinom unter Hormonablationstherapie untersucht. </w:t>
      </w:r>
    </w:p>
    <w:p w:rsidR="00E66987" w:rsidRPr="00BE03E3" w:rsidRDefault="00E66987" w:rsidP="00BE03E3">
      <w:pPr>
        <w:spacing w:after="120"/>
        <w:rPr>
          <w:sz w:val="22"/>
          <w:szCs w:val="22"/>
          <w:lang w:val="de-AT"/>
        </w:rPr>
      </w:pPr>
      <w:r w:rsidRPr="00BE03E3">
        <w:rPr>
          <w:sz w:val="22"/>
          <w:szCs w:val="22"/>
          <w:lang w:val="de-AT"/>
        </w:rPr>
        <w:t>In allen oben erwähnten Studien war die Nebenwirkungsrate auf dem Niveau von Pla</w:t>
      </w:r>
      <w:r>
        <w:rPr>
          <w:sz w:val="22"/>
          <w:szCs w:val="22"/>
          <w:lang w:val="de-AT"/>
        </w:rPr>
        <w:t>c</w:t>
      </w:r>
      <w:r w:rsidRPr="00BE03E3">
        <w:rPr>
          <w:sz w:val="22"/>
          <w:szCs w:val="22"/>
          <w:lang w:val="de-AT"/>
        </w:rPr>
        <w:t xml:space="preserve">ebo bzw. vergleichbar mit dem der oralen </w:t>
      </w:r>
      <w:proofErr w:type="spellStart"/>
      <w:r w:rsidRPr="00BE03E3">
        <w:rPr>
          <w:sz w:val="22"/>
          <w:szCs w:val="22"/>
          <w:lang w:val="de-AT"/>
        </w:rPr>
        <w:t>Bisphosphonat</w:t>
      </w:r>
      <w:proofErr w:type="spellEnd"/>
      <w:r w:rsidRPr="00BE03E3">
        <w:rPr>
          <w:sz w:val="22"/>
          <w:szCs w:val="22"/>
          <w:lang w:val="de-AT"/>
        </w:rPr>
        <w:t xml:space="preserve">-Therapie. Inzidenz und Form unerwünschter Ereignisse und schwerwiegend unerwünschter Ereignisse waren in beiden Behandlungsgruppen ähnlich. Die häufigsten unerwünschten Ereignisse waren Arthralgien, Rückenschmerzen, Hypertonie und </w:t>
      </w:r>
      <w:proofErr w:type="spellStart"/>
      <w:r w:rsidRPr="00BE03E3">
        <w:rPr>
          <w:sz w:val="22"/>
          <w:szCs w:val="22"/>
          <w:lang w:val="de-AT"/>
        </w:rPr>
        <w:t>Nasopharyngitis</w:t>
      </w:r>
      <w:proofErr w:type="spellEnd"/>
      <w:r w:rsidRPr="00BE03E3">
        <w:rPr>
          <w:sz w:val="22"/>
          <w:szCs w:val="22"/>
          <w:lang w:val="de-AT"/>
        </w:rPr>
        <w:t>. Ekzeme, Zellulitis und Flatulenz</w:t>
      </w:r>
      <w:r>
        <w:rPr>
          <w:sz w:val="22"/>
          <w:szCs w:val="22"/>
          <w:lang w:val="de-AT"/>
        </w:rPr>
        <w:t>en</w:t>
      </w:r>
      <w:r w:rsidRPr="00BE03E3">
        <w:rPr>
          <w:sz w:val="22"/>
          <w:szCs w:val="22"/>
          <w:lang w:val="de-AT"/>
        </w:rPr>
        <w:t xml:space="preserve"> traten signifikant höher in der </w:t>
      </w:r>
      <w:proofErr w:type="spellStart"/>
      <w:r w:rsidRPr="00BE03E3">
        <w:rPr>
          <w:sz w:val="22"/>
          <w:szCs w:val="22"/>
          <w:lang w:val="de-AT"/>
        </w:rPr>
        <w:t>Denosumab</w:t>
      </w:r>
      <w:proofErr w:type="spellEnd"/>
      <w:r w:rsidRPr="00BE03E3">
        <w:rPr>
          <w:sz w:val="22"/>
          <w:szCs w:val="22"/>
          <w:lang w:val="de-AT"/>
        </w:rPr>
        <w:t>-Gruppe im Vergleich zu Pla</w:t>
      </w:r>
      <w:r>
        <w:rPr>
          <w:sz w:val="22"/>
          <w:szCs w:val="22"/>
          <w:lang w:val="de-AT"/>
        </w:rPr>
        <w:t>c</w:t>
      </w:r>
      <w:r w:rsidRPr="00BE03E3">
        <w:rPr>
          <w:sz w:val="22"/>
          <w:szCs w:val="22"/>
          <w:lang w:val="de-AT"/>
        </w:rPr>
        <w:t>ebo auf. Für ein erhöhtes Risiko von Akutphase-Reaktionen oder Nierenfunktionsstörunge</w:t>
      </w:r>
      <w:r>
        <w:rPr>
          <w:sz w:val="22"/>
          <w:szCs w:val="22"/>
          <w:lang w:val="de-AT"/>
        </w:rPr>
        <w:t>n gibt es derzeit keine Evidenz</w:t>
      </w:r>
      <w:r w:rsidRPr="00BE03E3">
        <w:rPr>
          <w:sz w:val="22"/>
          <w:szCs w:val="22"/>
          <w:lang w:val="de-AT"/>
        </w:rPr>
        <w:t xml:space="preserve">. Bei den Patientinnen unter </w:t>
      </w:r>
      <w:proofErr w:type="spellStart"/>
      <w:r w:rsidRPr="00BE03E3">
        <w:rPr>
          <w:sz w:val="22"/>
          <w:szCs w:val="22"/>
          <w:lang w:val="de-AT"/>
        </w:rPr>
        <w:t>Denosumab</w:t>
      </w:r>
      <w:proofErr w:type="spellEnd"/>
      <w:r w:rsidRPr="00BE03E3">
        <w:rPr>
          <w:sz w:val="22"/>
          <w:szCs w:val="22"/>
          <w:lang w:val="de-AT"/>
        </w:rPr>
        <w:t xml:space="preserve"> wurden bislang keine Fälle von </w:t>
      </w:r>
      <w:proofErr w:type="spellStart"/>
      <w:r w:rsidRPr="00BE03E3">
        <w:rPr>
          <w:sz w:val="22"/>
          <w:szCs w:val="22"/>
          <w:lang w:val="de-AT"/>
        </w:rPr>
        <w:t>Osteonekrose</w:t>
      </w:r>
      <w:proofErr w:type="spellEnd"/>
      <w:r w:rsidRPr="00BE03E3">
        <w:rPr>
          <w:sz w:val="22"/>
          <w:szCs w:val="22"/>
          <w:lang w:val="de-AT"/>
        </w:rPr>
        <w:t xml:space="preserve"> des Kiefers beobachtet und keine der Studienpatientinnen reagierte während der Beobachtungszeit mit der Bildung neutralisierender Antikörper auf den Wirkstoff. </w:t>
      </w:r>
      <w:r>
        <w:rPr>
          <w:sz w:val="22"/>
          <w:szCs w:val="22"/>
          <w:lang w:val="de-AT"/>
        </w:rPr>
        <w:t xml:space="preserve">Ebenso gab es in der </w:t>
      </w:r>
      <w:proofErr w:type="spellStart"/>
      <w:r>
        <w:rPr>
          <w:sz w:val="22"/>
          <w:szCs w:val="22"/>
          <w:lang w:val="de-AT"/>
        </w:rPr>
        <w:t>Denosumab</w:t>
      </w:r>
      <w:proofErr w:type="spellEnd"/>
      <w:r>
        <w:rPr>
          <w:sz w:val="22"/>
          <w:szCs w:val="22"/>
          <w:lang w:val="de-AT"/>
        </w:rPr>
        <w:t>-</w:t>
      </w:r>
      <w:r w:rsidRPr="00BE03E3">
        <w:rPr>
          <w:sz w:val="22"/>
          <w:szCs w:val="22"/>
          <w:lang w:val="de-AT"/>
        </w:rPr>
        <w:t xml:space="preserve">Gruppe kein erhöhtes Risiko für das Auftreten von </w:t>
      </w:r>
      <w:r>
        <w:rPr>
          <w:sz w:val="22"/>
          <w:szCs w:val="22"/>
          <w:lang w:val="de-AT"/>
        </w:rPr>
        <w:t>Malignomen oder Herz-Kreislauf-</w:t>
      </w:r>
      <w:r w:rsidRPr="00BE03E3">
        <w:rPr>
          <w:sz w:val="22"/>
          <w:szCs w:val="22"/>
          <w:lang w:val="de-AT"/>
        </w:rPr>
        <w:t>Erkrankungen.</w:t>
      </w:r>
    </w:p>
    <w:p w:rsidR="00E66987" w:rsidRPr="00233B41" w:rsidRDefault="00E66987" w:rsidP="00D27B85">
      <w:pPr>
        <w:pStyle w:val="StandardWeb"/>
        <w:spacing w:before="360" w:beforeAutospacing="0" w:after="120" w:afterAutospacing="0"/>
        <w:rPr>
          <w:rStyle w:val="normtextstress"/>
          <w:rFonts w:ascii="Arial" w:hAnsi="Arial"/>
          <w:b/>
          <w:sz w:val="22"/>
          <w:lang w:val="de-AT"/>
        </w:rPr>
      </w:pPr>
      <w:proofErr w:type="spellStart"/>
      <w:r w:rsidRPr="00233B41">
        <w:rPr>
          <w:rStyle w:val="normtextstress"/>
          <w:rFonts w:ascii="Arial" w:hAnsi="Arial"/>
          <w:b/>
          <w:sz w:val="22"/>
          <w:lang w:val="de-AT"/>
        </w:rPr>
        <w:t>PatientInnenfreundliche</w:t>
      </w:r>
      <w:proofErr w:type="spellEnd"/>
      <w:r w:rsidRPr="00233B41">
        <w:rPr>
          <w:rStyle w:val="normtextstress"/>
          <w:rFonts w:ascii="Arial" w:hAnsi="Arial"/>
          <w:b/>
          <w:sz w:val="22"/>
          <w:lang w:val="de-AT"/>
        </w:rPr>
        <w:t xml:space="preserve"> Anwendung </w:t>
      </w:r>
    </w:p>
    <w:p w:rsidR="00E66987" w:rsidRDefault="00E66987" w:rsidP="0019373C">
      <w:pPr>
        <w:spacing w:after="120"/>
        <w:rPr>
          <w:sz w:val="22"/>
          <w:szCs w:val="22"/>
          <w:lang w:val="de-AT"/>
        </w:rPr>
      </w:pPr>
      <w:proofErr w:type="spellStart"/>
      <w:r w:rsidRPr="00233B41">
        <w:rPr>
          <w:sz w:val="22"/>
          <w:szCs w:val="22"/>
          <w:lang w:val="de-AT"/>
        </w:rPr>
        <w:t>Denosumab</w:t>
      </w:r>
      <w:proofErr w:type="spellEnd"/>
      <w:r w:rsidRPr="00233B41">
        <w:rPr>
          <w:sz w:val="22"/>
          <w:szCs w:val="22"/>
          <w:lang w:val="de-AT"/>
        </w:rPr>
        <w:t xml:space="preserve"> wird zweimal jährlich in einer Dosis von 60 mg subkutan verabreicht. </w:t>
      </w:r>
      <w:r w:rsidRPr="00233B41">
        <w:rPr>
          <w:sz w:val="22"/>
          <w:szCs w:val="22"/>
          <w:lang w:val="de-AT"/>
        </w:rPr>
        <w:br/>
        <w:t xml:space="preserve">Die Dosis muss auch bei eingeschränkter Nierenfunktion nicht angepasst werden. Somit ist die Anwendung für Ärzte und </w:t>
      </w:r>
      <w:proofErr w:type="spellStart"/>
      <w:r w:rsidRPr="00233B41">
        <w:rPr>
          <w:sz w:val="22"/>
          <w:szCs w:val="22"/>
          <w:lang w:val="de-AT"/>
        </w:rPr>
        <w:t>PatientInnen</w:t>
      </w:r>
      <w:proofErr w:type="spellEnd"/>
      <w:r w:rsidRPr="00233B41">
        <w:rPr>
          <w:sz w:val="22"/>
          <w:szCs w:val="22"/>
          <w:lang w:val="de-AT"/>
        </w:rPr>
        <w:t xml:space="preserve"> gleichermaßen komfortabel.</w:t>
      </w:r>
    </w:p>
    <w:p w:rsidR="00E66987" w:rsidRPr="00233B41" w:rsidRDefault="00E66987" w:rsidP="0019373C">
      <w:pPr>
        <w:spacing w:after="120"/>
        <w:rPr>
          <w:sz w:val="22"/>
          <w:szCs w:val="22"/>
          <w:lang w:val="de-AT"/>
        </w:rPr>
      </w:pPr>
      <w:r w:rsidRPr="00233B41">
        <w:rPr>
          <w:sz w:val="22"/>
          <w:szCs w:val="22"/>
          <w:lang w:val="de-AT"/>
        </w:rPr>
        <w:t xml:space="preserve">Dank dieser Eigenschaften steht mit </w:t>
      </w:r>
      <w:proofErr w:type="spellStart"/>
      <w:r w:rsidRPr="00233B41">
        <w:rPr>
          <w:sz w:val="22"/>
          <w:szCs w:val="22"/>
          <w:lang w:val="de-AT"/>
        </w:rPr>
        <w:t>Denosumab</w:t>
      </w:r>
      <w:proofErr w:type="spellEnd"/>
      <w:r w:rsidRPr="00233B41">
        <w:rPr>
          <w:sz w:val="22"/>
          <w:szCs w:val="22"/>
          <w:lang w:val="de-AT"/>
        </w:rPr>
        <w:t xml:space="preserve"> nun eine wirksame, verträgliche und </w:t>
      </w:r>
      <w:proofErr w:type="spellStart"/>
      <w:r w:rsidRPr="00233B41">
        <w:rPr>
          <w:sz w:val="22"/>
          <w:szCs w:val="22"/>
          <w:lang w:val="de-AT"/>
        </w:rPr>
        <w:t>patientInnenfreundliche</w:t>
      </w:r>
      <w:proofErr w:type="spellEnd"/>
      <w:r w:rsidRPr="00233B41">
        <w:rPr>
          <w:sz w:val="22"/>
          <w:szCs w:val="22"/>
          <w:lang w:val="de-AT"/>
        </w:rPr>
        <w:t xml:space="preserve"> Alternative zu den bisherigen </w:t>
      </w:r>
      <w:proofErr w:type="spellStart"/>
      <w:r w:rsidRPr="00233B41">
        <w:rPr>
          <w:sz w:val="22"/>
          <w:szCs w:val="22"/>
          <w:lang w:val="de-AT"/>
        </w:rPr>
        <w:t>antiosteoporotischen</w:t>
      </w:r>
      <w:proofErr w:type="spellEnd"/>
      <w:r w:rsidRPr="00233B41">
        <w:rPr>
          <w:sz w:val="22"/>
          <w:szCs w:val="22"/>
          <w:lang w:val="de-AT"/>
        </w:rPr>
        <w:t xml:space="preserve"> Therapien zur Verfügung.</w:t>
      </w:r>
    </w:p>
    <w:p w:rsidR="00E66987" w:rsidRPr="00233B41" w:rsidRDefault="00E66987" w:rsidP="005F330B">
      <w:pPr>
        <w:pStyle w:val="Style4"/>
        <w:widowControl/>
        <w:spacing w:before="240" w:after="120"/>
        <w:rPr>
          <w:rFonts w:ascii="Arial" w:hAnsi="Arial"/>
          <w:b/>
          <w:color w:val="000000"/>
          <w:sz w:val="24"/>
          <w:lang w:val="de-AT"/>
        </w:rPr>
      </w:pPr>
      <w:r w:rsidRPr="00233B41">
        <w:rPr>
          <w:rFonts w:ascii="Arial" w:hAnsi="Arial"/>
          <w:b/>
          <w:color w:val="000000"/>
          <w:sz w:val="24"/>
          <w:lang w:val="de-AT"/>
        </w:rPr>
        <w:t xml:space="preserve">Der Einsatz von </w:t>
      </w:r>
      <w:proofErr w:type="spellStart"/>
      <w:r w:rsidRPr="00233B41">
        <w:rPr>
          <w:rFonts w:ascii="Arial" w:hAnsi="Arial"/>
          <w:b/>
          <w:color w:val="000000"/>
          <w:sz w:val="24"/>
          <w:lang w:val="de-AT"/>
        </w:rPr>
        <w:t>Denosumab</w:t>
      </w:r>
      <w:proofErr w:type="spellEnd"/>
      <w:r w:rsidRPr="00233B41">
        <w:rPr>
          <w:rFonts w:ascii="Arial" w:hAnsi="Arial"/>
          <w:b/>
          <w:color w:val="000000"/>
          <w:sz w:val="24"/>
          <w:lang w:val="de-AT"/>
        </w:rPr>
        <w:t xml:space="preserve"> in der Praxis </w:t>
      </w:r>
    </w:p>
    <w:p w:rsidR="00E66987" w:rsidRPr="00233B41" w:rsidRDefault="00E66987" w:rsidP="00D27B85">
      <w:pPr>
        <w:spacing w:after="120"/>
        <w:rPr>
          <w:rFonts w:cs="Arial"/>
          <w:sz w:val="22"/>
          <w:szCs w:val="22"/>
          <w:lang w:val="de-AT" w:eastAsia="zh-CN"/>
        </w:rPr>
      </w:pPr>
      <w:r w:rsidRPr="00233B41">
        <w:rPr>
          <w:rFonts w:cs="Arial"/>
          <w:sz w:val="22"/>
          <w:szCs w:val="22"/>
          <w:lang w:val="de-AT"/>
        </w:rPr>
        <w:t xml:space="preserve">Das Indikationsgebiet für </w:t>
      </w:r>
      <w:proofErr w:type="spellStart"/>
      <w:r w:rsidRPr="00233B41">
        <w:rPr>
          <w:rFonts w:cs="Arial"/>
          <w:sz w:val="22"/>
          <w:szCs w:val="22"/>
          <w:lang w:val="de-AT"/>
        </w:rPr>
        <w:t>Denosumab</w:t>
      </w:r>
      <w:proofErr w:type="spellEnd"/>
      <w:r w:rsidRPr="00233B41">
        <w:rPr>
          <w:rFonts w:cs="Arial"/>
          <w:sz w:val="22"/>
          <w:szCs w:val="22"/>
          <w:lang w:val="de-AT"/>
        </w:rPr>
        <w:t xml:space="preserve"> stellt die Osteoporose mit erhöhtem Frakturrisiko dar</w:t>
      </w:r>
      <w:r w:rsidRPr="00233B41">
        <w:rPr>
          <w:rFonts w:cs="Arial"/>
          <w:sz w:val="22"/>
          <w:szCs w:val="22"/>
          <w:lang w:val="de-AT" w:eastAsia="zh-CN"/>
        </w:rPr>
        <w:t xml:space="preserve">. Die </w:t>
      </w:r>
      <w:proofErr w:type="spellStart"/>
      <w:r w:rsidRPr="00233B41">
        <w:rPr>
          <w:rFonts w:cs="Arial"/>
          <w:sz w:val="22"/>
          <w:szCs w:val="22"/>
          <w:lang w:val="de-AT" w:eastAsia="zh-CN"/>
        </w:rPr>
        <w:t>Evidenzlage</w:t>
      </w:r>
      <w:proofErr w:type="spellEnd"/>
      <w:r w:rsidRPr="00233B41">
        <w:rPr>
          <w:rFonts w:cs="Arial"/>
          <w:sz w:val="22"/>
          <w:szCs w:val="22"/>
          <w:lang w:val="de-AT" w:eastAsia="zh-CN"/>
        </w:rPr>
        <w:t xml:space="preserve"> spricht ganz klar für eine First</w:t>
      </w:r>
      <w:r>
        <w:rPr>
          <w:rFonts w:cs="Arial"/>
          <w:sz w:val="22"/>
          <w:szCs w:val="22"/>
          <w:lang w:val="de-AT" w:eastAsia="zh-CN"/>
        </w:rPr>
        <w:t>-</w:t>
      </w:r>
      <w:r w:rsidRPr="00233B41">
        <w:rPr>
          <w:rFonts w:cs="Arial"/>
          <w:sz w:val="22"/>
          <w:szCs w:val="22"/>
          <w:lang w:val="de-AT" w:eastAsia="zh-CN"/>
        </w:rPr>
        <w:t xml:space="preserve">Line Therapie, also für den Einsatz bei </w:t>
      </w:r>
      <w:proofErr w:type="spellStart"/>
      <w:r w:rsidRPr="00233B41">
        <w:rPr>
          <w:rFonts w:cs="Arial"/>
          <w:sz w:val="22"/>
          <w:szCs w:val="22"/>
          <w:lang w:val="de-AT" w:eastAsia="zh-CN"/>
        </w:rPr>
        <w:t>PatientInnen</w:t>
      </w:r>
      <w:proofErr w:type="spellEnd"/>
      <w:r w:rsidRPr="00233B41">
        <w:rPr>
          <w:rFonts w:cs="Arial"/>
          <w:sz w:val="22"/>
          <w:szCs w:val="22"/>
          <w:lang w:val="de-AT" w:eastAsia="zh-CN"/>
        </w:rPr>
        <w:t xml:space="preserve"> mit stark erhöhtem Frakturrisiko. Aus rein ökonomischen Überlegungen heraus werden zur Zeit die Kosten für eine Behandlung mit </w:t>
      </w:r>
      <w:proofErr w:type="spellStart"/>
      <w:r w:rsidRPr="00233B41">
        <w:rPr>
          <w:rFonts w:cs="Arial"/>
          <w:sz w:val="22"/>
          <w:szCs w:val="22"/>
          <w:lang w:val="de-AT" w:eastAsia="zh-CN"/>
        </w:rPr>
        <w:t>Denosumab</w:t>
      </w:r>
      <w:proofErr w:type="spellEnd"/>
      <w:r w:rsidRPr="00233B41">
        <w:rPr>
          <w:rFonts w:cs="Arial"/>
          <w:sz w:val="22"/>
          <w:szCs w:val="22"/>
          <w:lang w:val="de-AT" w:eastAsia="zh-CN"/>
        </w:rPr>
        <w:t xml:space="preserve"> von den Versicherungsträgern in Österreich allerdings nur dann übernommen, wenn eine Ineffektivität der </w:t>
      </w:r>
      <w:proofErr w:type="spellStart"/>
      <w:r w:rsidRPr="00233B41">
        <w:rPr>
          <w:rFonts w:cs="Arial"/>
          <w:sz w:val="22"/>
          <w:szCs w:val="22"/>
          <w:lang w:val="de-AT" w:eastAsia="zh-CN"/>
        </w:rPr>
        <w:t>Bisphophonat</w:t>
      </w:r>
      <w:proofErr w:type="spellEnd"/>
      <w:r w:rsidRPr="00233B41">
        <w:rPr>
          <w:rFonts w:cs="Arial"/>
          <w:sz w:val="22"/>
          <w:szCs w:val="22"/>
          <w:lang w:val="de-AT" w:eastAsia="zh-CN"/>
        </w:rPr>
        <w:t xml:space="preserve">-Therapie, eine Niereninsuffizienz oder eine schlechte Venensituation besteht, sodass eine intravenöse Gabe von </w:t>
      </w:r>
      <w:proofErr w:type="spellStart"/>
      <w:r w:rsidRPr="00233B41">
        <w:rPr>
          <w:rFonts w:cs="Arial"/>
          <w:sz w:val="22"/>
          <w:szCs w:val="22"/>
          <w:lang w:val="de-AT" w:eastAsia="zh-CN"/>
        </w:rPr>
        <w:t>Bisphosphonaten</w:t>
      </w:r>
      <w:proofErr w:type="spellEnd"/>
      <w:r w:rsidRPr="00233B41">
        <w:rPr>
          <w:rFonts w:cs="Arial"/>
          <w:sz w:val="22"/>
          <w:szCs w:val="22"/>
          <w:lang w:val="de-AT" w:eastAsia="zh-CN"/>
        </w:rPr>
        <w:t xml:space="preserve"> nicht möglich ist. </w:t>
      </w:r>
    </w:p>
    <w:p w:rsidR="00E66987" w:rsidRPr="00233B41" w:rsidRDefault="00E66987" w:rsidP="00AC4EE3">
      <w:pPr>
        <w:pStyle w:val="Style4"/>
        <w:widowControl/>
        <w:spacing w:before="240" w:after="120"/>
        <w:rPr>
          <w:rFonts w:ascii="Arial" w:hAnsi="Arial"/>
          <w:b/>
          <w:color w:val="000000"/>
          <w:sz w:val="24"/>
          <w:lang w:val="de-AT"/>
        </w:rPr>
      </w:pPr>
      <w:r w:rsidRPr="00233B41">
        <w:rPr>
          <w:rFonts w:ascii="Arial" w:hAnsi="Arial"/>
          <w:b/>
          <w:color w:val="000000"/>
          <w:sz w:val="24"/>
          <w:lang w:val="de-AT"/>
        </w:rPr>
        <w:t>Zusammenfassung</w:t>
      </w:r>
    </w:p>
    <w:p w:rsidR="00E66987" w:rsidRPr="00233B41" w:rsidRDefault="00E66987" w:rsidP="00AC4EE3">
      <w:pPr>
        <w:spacing w:after="120"/>
        <w:rPr>
          <w:rFonts w:cs="Arial"/>
          <w:sz w:val="22"/>
          <w:szCs w:val="22"/>
          <w:lang w:val="de-AT" w:eastAsia="zh-CN"/>
        </w:rPr>
      </w:pPr>
      <w:r w:rsidRPr="00233B41">
        <w:rPr>
          <w:rFonts w:cs="Arial"/>
          <w:sz w:val="22"/>
          <w:szCs w:val="22"/>
          <w:lang w:val="de-AT" w:eastAsia="zh-CN"/>
        </w:rPr>
        <w:t xml:space="preserve">Aufgrund der vorliegenden Datenlage sowie aufgrund eigener Erfahrungen stellt </w:t>
      </w:r>
      <w:proofErr w:type="spellStart"/>
      <w:r w:rsidRPr="00233B41">
        <w:rPr>
          <w:rFonts w:cs="Arial"/>
          <w:sz w:val="22"/>
          <w:szCs w:val="22"/>
          <w:lang w:val="de-AT" w:eastAsia="zh-CN"/>
        </w:rPr>
        <w:t>Denosumab</w:t>
      </w:r>
      <w:proofErr w:type="spellEnd"/>
      <w:r w:rsidRPr="00233B41">
        <w:rPr>
          <w:rFonts w:cs="Arial"/>
          <w:sz w:val="22"/>
          <w:szCs w:val="22"/>
          <w:lang w:val="de-AT" w:eastAsia="zh-CN"/>
        </w:rPr>
        <w:t xml:space="preserve"> mit seiner raschen und effizienten Wirkung bei einem </w:t>
      </w:r>
      <w:proofErr w:type="spellStart"/>
      <w:r w:rsidRPr="00233B41">
        <w:rPr>
          <w:rFonts w:cs="Arial"/>
          <w:sz w:val="22"/>
          <w:szCs w:val="22"/>
          <w:lang w:val="de-AT" w:eastAsia="zh-CN"/>
        </w:rPr>
        <w:t>placebo</w:t>
      </w:r>
      <w:proofErr w:type="spellEnd"/>
      <w:r w:rsidRPr="00233B41">
        <w:rPr>
          <w:rFonts w:cs="Arial"/>
          <w:sz w:val="22"/>
          <w:szCs w:val="22"/>
          <w:lang w:val="de-AT" w:eastAsia="zh-CN"/>
        </w:rPr>
        <w:t xml:space="preserve">-ähnlichen Nebenwirkungsprofil eine wichtige Alternative in der Behandlung der Osteoporose dar. Die Daten zeigen neben der Reversibilität auch die gute Steuerbarkeit der Therapie und beinhalten </w:t>
      </w:r>
      <w:proofErr w:type="gramStart"/>
      <w:r w:rsidRPr="00233B41">
        <w:rPr>
          <w:rFonts w:cs="Arial"/>
          <w:sz w:val="22"/>
          <w:szCs w:val="22"/>
          <w:lang w:val="de-AT" w:eastAsia="zh-CN"/>
        </w:rPr>
        <w:t>zur Zeit</w:t>
      </w:r>
      <w:proofErr w:type="gramEnd"/>
      <w:r w:rsidRPr="00233B41">
        <w:rPr>
          <w:rFonts w:cs="Arial"/>
          <w:sz w:val="22"/>
          <w:szCs w:val="22"/>
          <w:lang w:val="de-AT" w:eastAsia="zh-CN"/>
        </w:rPr>
        <w:t xml:space="preserve"> alle relevanten Aspekte der Sicherheit, die für eine Langzeittherapie wichtig sind. Es ist erfreulich, dass nunmehr eine moderne Antikörpertherapie – wie wir sie in der Onkologie oder in der </w:t>
      </w:r>
      <w:proofErr w:type="spellStart"/>
      <w:r w:rsidRPr="00233B41">
        <w:rPr>
          <w:rFonts w:cs="Arial"/>
          <w:sz w:val="22"/>
          <w:szCs w:val="22"/>
          <w:lang w:val="de-AT" w:eastAsia="zh-CN"/>
        </w:rPr>
        <w:t>Rheumatologie</w:t>
      </w:r>
      <w:proofErr w:type="spellEnd"/>
      <w:r w:rsidRPr="00233B41">
        <w:rPr>
          <w:rFonts w:cs="Arial"/>
          <w:sz w:val="22"/>
          <w:szCs w:val="22"/>
          <w:lang w:val="de-AT" w:eastAsia="zh-CN"/>
        </w:rPr>
        <w:t xml:space="preserve"> bereits kennen und die dort mittlerweile Standard sind – nun auch in der </w:t>
      </w:r>
      <w:proofErr w:type="spellStart"/>
      <w:r w:rsidRPr="00233B41">
        <w:rPr>
          <w:rFonts w:cs="Arial"/>
          <w:sz w:val="22"/>
          <w:szCs w:val="22"/>
          <w:lang w:val="de-AT" w:eastAsia="zh-CN"/>
        </w:rPr>
        <w:t>Osteoporosetherapie</w:t>
      </w:r>
      <w:proofErr w:type="spellEnd"/>
      <w:r w:rsidRPr="00233B41">
        <w:rPr>
          <w:rFonts w:cs="Arial"/>
          <w:sz w:val="22"/>
          <w:szCs w:val="22"/>
          <w:lang w:val="de-AT" w:eastAsia="zh-CN"/>
        </w:rPr>
        <w:t xml:space="preserve"> zur Verfügung steht.</w:t>
      </w:r>
    </w:p>
    <w:p w:rsidR="00E66987" w:rsidRPr="00233B41" w:rsidRDefault="00E66987" w:rsidP="005F330B">
      <w:pPr>
        <w:rPr>
          <w:sz w:val="22"/>
          <w:lang w:val="de-AT"/>
        </w:rPr>
      </w:pPr>
    </w:p>
    <w:p w:rsidR="00E66987" w:rsidRDefault="00E66987" w:rsidP="001138CD">
      <w:pPr>
        <w:spacing w:line="360" w:lineRule="auto"/>
        <w:rPr>
          <w:b/>
          <w:lang w:val="de-AT"/>
        </w:rPr>
      </w:pPr>
    </w:p>
    <w:p w:rsidR="00E66987" w:rsidRPr="00233B41" w:rsidRDefault="00E66987" w:rsidP="001138CD">
      <w:pPr>
        <w:spacing w:line="360" w:lineRule="auto"/>
        <w:rPr>
          <w:b/>
          <w:lang w:val="de-AT"/>
        </w:rPr>
      </w:pPr>
      <w:r w:rsidRPr="00233B41">
        <w:rPr>
          <w:b/>
          <w:lang w:val="de-AT"/>
        </w:rPr>
        <w:lastRenderedPageBreak/>
        <w:t>Kontakt für Journalisten-Rückfragen</w:t>
      </w:r>
    </w:p>
    <w:p w:rsidR="00E66987" w:rsidRPr="00233B41" w:rsidRDefault="00E66987" w:rsidP="00A4483A">
      <w:pPr>
        <w:rPr>
          <w:b/>
          <w:i/>
          <w:lang w:val="de-AT"/>
        </w:rPr>
      </w:pPr>
      <w:r w:rsidRPr="00233B41">
        <w:rPr>
          <w:b/>
          <w:i/>
          <w:lang w:val="de-AT"/>
        </w:rPr>
        <w:t>Univ.-Prof. Dr. Heinrich Resch</w:t>
      </w:r>
    </w:p>
    <w:p w:rsidR="00E66987" w:rsidRPr="00233B41" w:rsidRDefault="00E66987" w:rsidP="00C4677E">
      <w:pPr>
        <w:rPr>
          <w:b/>
          <w:i/>
          <w:sz w:val="20"/>
          <w:lang w:val="de-AT"/>
        </w:rPr>
      </w:pPr>
      <w:r w:rsidRPr="00233B41">
        <w:rPr>
          <w:b/>
          <w:i/>
          <w:sz w:val="20"/>
          <w:lang w:val="de-AT"/>
        </w:rPr>
        <w:t xml:space="preserve">2. Medizinische Abteilung </w:t>
      </w:r>
    </w:p>
    <w:p w:rsidR="00E66987" w:rsidRPr="00233B41" w:rsidRDefault="00E66987" w:rsidP="005F51C5">
      <w:pPr>
        <w:rPr>
          <w:b/>
          <w:i/>
          <w:sz w:val="20"/>
          <w:lang w:val="de-AT"/>
        </w:rPr>
      </w:pPr>
      <w:r w:rsidRPr="00233B41">
        <w:rPr>
          <w:b/>
          <w:i/>
          <w:sz w:val="20"/>
          <w:lang w:val="de-AT"/>
        </w:rPr>
        <w:t>Krankenhaus der Barmherzigen Schwestern</w:t>
      </w:r>
    </w:p>
    <w:p w:rsidR="00E66987" w:rsidRPr="00233B41" w:rsidRDefault="00E66987" w:rsidP="005F51C5">
      <w:pPr>
        <w:rPr>
          <w:b/>
          <w:i/>
          <w:sz w:val="20"/>
          <w:lang w:val="de-AT"/>
        </w:rPr>
      </w:pPr>
      <w:proofErr w:type="spellStart"/>
      <w:r w:rsidRPr="00233B41">
        <w:rPr>
          <w:b/>
          <w:i/>
          <w:sz w:val="20"/>
          <w:lang w:val="de-AT"/>
        </w:rPr>
        <w:t>Stumpergasse</w:t>
      </w:r>
      <w:proofErr w:type="spellEnd"/>
      <w:r w:rsidRPr="00233B41">
        <w:rPr>
          <w:b/>
          <w:i/>
          <w:sz w:val="20"/>
          <w:lang w:val="de-AT"/>
        </w:rPr>
        <w:t xml:space="preserve"> 13</w:t>
      </w:r>
    </w:p>
    <w:p w:rsidR="00E66987" w:rsidRPr="00233B41" w:rsidRDefault="00E66987" w:rsidP="005F51C5">
      <w:pPr>
        <w:rPr>
          <w:b/>
          <w:i/>
          <w:sz w:val="20"/>
          <w:lang w:val="de-AT"/>
        </w:rPr>
      </w:pPr>
      <w:r w:rsidRPr="00233B41">
        <w:rPr>
          <w:b/>
          <w:i/>
          <w:sz w:val="20"/>
          <w:lang w:val="de-AT"/>
        </w:rPr>
        <w:t>1060 Wien</w:t>
      </w:r>
    </w:p>
    <w:p w:rsidR="00E66987" w:rsidRPr="00233B41" w:rsidRDefault="00E66987" w:rsidP="005F51C5">
      <w:pPr>
        <w:rPr>
          <w:b/>
          <w:i/>
          <w:sz w:val="20"/>
          <w:lang w:val="de-AT"/>
        </w:rPr>
      </w:pPr>
      <w:r w:rsidRPr="00233B41">
        <w:rPr>
          <w:b/>
          <w:i/>
          <w:sz w:val="20"/>
          <w:lang w:val="de-AT"/>
        </w:rPr>
        <w:sym w:font="Wingdings" w:char="F028"/>
      </w:r>
      <w:r w:rsidRPr="00233B41">
        <w:rPr>
          <w:b/>
          <w:i/>
          <w:sz w:val="20"/>
          <w:lang w:val="de-AT"/>
        </w:rPr>
        <w:t>: +43/1/599 88 0</w:t>
      </w:r>
    </w:p>
    <w:p w:rsidR="00E66987" w:rsidRPr="00233B41" w:rsidRDefault="00E66987" w:rsidP="00C4677E">
      <w:pPr>
        <w:rPr>
          <w:b/>
          <w:i/>
          <w:sz w:val="20"/>
          <w:lang w:val="de-AT"/>
        </w:rPr>
      </w:pPr>
      <w:r w:rsidRPr="00233B41">
        <w:rPr>
          <w:b/>
          <w:i/>
          <w:sz w:val="20"/>
          <w:lang w:val="de-AT"/>
        </w:rPr>
        <w:t xml:space="preserve">Heinrich.resch@bhs.at </w:t>
      </w:r>
    </w:p>
    <w:p w:rsidR="00E66987" w:rsidRPr="00233B41" w:rsidRDefault="00E66987" w:rsidP="005F51C5">
      <w:pPr>
        <w:rPr>
          <w:b/>
          <w:i/>
          <w:sz w:val="20"/>
          <w:lang w:val="de-AT"/>
        </w:rPr>
      </w:pPr>
    </w:p>
    <w:p w:rsidR="00E66987" w:rsidRPr="00233B41" w:rsidRDefault="00E66987">
      <w:pPr>
        <w:rPr>
          <w:b/>
          <w:i/>
          <w:sz w:val="20"/>
          <w:lang w:val="de-AT"/>
        </w:rPr>
      </w:pPr>
    </w:p>
    <w:sectPr w:rsidR="00E66987" w:rsidRPr="00233B41" w:rsidSect="00CC2625">
      <w:headerReference w:type="default" r:id="rId12"/>
      <w:footerReference w:type="even" r:id="rId13"/>
      <w:footerReference w:type="default" r:id="rId14"/>
      <w:pgSz w:w="11906" w:h="16838" w:code="9"/>
      <w:pgMar w:top="2268" w:right="1418" w:bottom="170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31C" w:rsidRDefault="0059431C" w:rsidP="00801486">
      <w:r>
        <w:separator/>
      </w:r>
    </w:p>
  </w:endnote>
  <w:endnote w:type="continuationSeparator" w:id="0">
    <w:p w:rsidR="0059431C" w:rsidRDefault="0059431C" w:rsidP="00801486">
      <w:r>
        <w:continuationSeparator/>
      </w:r>
    </w:p>
  </w:endnote>
  <w:endnote w:id="1">
    <w:p w:rsidR="00E66987" w:rsidRDefault="00E66987" w:rsidP="00DD6890">
      <w:pPr>
        <w:pStyle w:val="Endnotentext"/>
        <w:spacing w:after="0"/>
      </w:pPr>
      <w:r w:rsidRPr="00F45E8E">
        <w:rPr>
          <w:rStyle w:val="Endnotenzeichen"/>
          <w:rFonts w:cs="Arial"/>
          <w:szCs w:val="18"/>
        </w:rPr>
        <w:endnoteRef/>
      </w:r>
      <w:r w:rsidRPr="00F45E8E">
        <w:rPr>
          <w:szCs w:val="18"/>
          <w:lang w:val="fr-FR"/>
        </w:rPr>
        <w:t xml:space="preserve"> </w:t>
      </w:r>
      <w:proofErr w:type="spellStart"/>
      <w:r w:rsidRPr="00F45E8E">
        <w:rPr>
          <w:szCs w:val="18"/>
          <w:lang w:val="fr-FR"/>
        </w:rPr>
        <w:t>Kostenuik</w:t>
      </w:r>
      <w:proofErr w:type="spellEnd"/>
      <w:r w:rsidRPr="00F45E8E">
        <w:rPr>
          <w:szCs w:val="18"/>
          <w:lang w:val="fr-FR"/>
        </w:rPr>
        <w:t xml:space="preserve"> PJ </w:t>
      </w:r>
      <w:proofErr w:type="spellStart"/>
      <w:r w:rsidRPr="00F45E8E">
        <w:rPr>
          <w:szCs w:val="18"/>
          <w:lang w:val="fr-FR"/>
        </w:rPr>
        <w:t>Curr</w:t>
      </w:r>
      <w:proofErr w:type="spellEnd"/>
      <w:r w:rsidRPr="00F45E8E">
        <w:rPr>
          <w:szCs w:val="18"/>
          <w:lang w:val="fr-FR"/>
        </w:rPr>
        <w:t xml:space="preserve"> </w:t>
      </w:r>
      <w:proofErr w:type="spellStart"/>
      <w:r w:rsidRPr="00F45E8E">
        <w:rPr>
          <w:szCs w:val="18"/>
          <w:lang w:val="fr-FR"/>
        </w:rPr>
        <w:t>Opin</w:t>
      </w:r>
      <w:proofErr w:type="spellEnd"/>
      <w:r w:rsidRPr="00F45E8E">
        <w:rPr>
          <w:szCs w:val="18"/>
          <w:lang w:val="fr-FR"/>
        </w:rPr>
        <w:t xml:space="preserve"> </w:t>
      </w:r>
      <w:proofErr w:type="spellStart"/>
      <w:r w:rsidRPr="00F45E8E">
        <w:rPr>
          <w:szCs w:val="18"/>
          <w:lang w:val="fr-FR"/>
        </w:rPr>
        <w:t>Pharmacol</w:t>
      </w:r>
      <w:proofErr w:type="spellEnd"/>
      <w:r w:rsidRPr="00F45E8E">
        <w:rPr>
          <w:szCs w:val="18"/>
          <w:lang w:val="fr-FR"/>
        </w:rPr>
        <w:t xml:space="preserve"> 2005; 5: 618-625</w:t>
      </w:r>
    </w:p>
  </w:endnote>
  <w:endnote w:id="2">
    <w:p w:rsidR="00E66987" w:rsidRDefault="00E66987" w:rsidP="00DD6890">
      <w:pPr>
        <w:pStyle w:val="Endnotentext"/>
        <w:spacing w:after="0"/>
      </w:pPr>
      <w:r w:rsidRPr="00F45E8E">
        <w:rPr>
          <w:rStyle w:val="Endnotenzeichen"/>
          <w:rFonts w:cs="Arial"/>
          <w:szCs w:val="18"/>
        </w:rPr>
        <w:endnoteRef/>
      </w:r>
      <w:r w:rsidRPr="00F45E8E">
        <w:rPr>
          <w:szCs w:val="18"/>
          <w:lang w:val="fr-FR"/>
        </w:rPr>
        <w:t xml:space="preserve"> </w:t>
      </w:r>
      <w:proofErr w:type="spellStart"/>
      <w:r w:rsidRPr="00F45E8E">
        <w:rPr>
          <w:szCs w:val="18"/>
          <w:lang w:val="fr-FR"/>
        </w:rPr>
        <w:t>Hofbauer</w:t>
      </w:r>
      <w:proofErr w:type="spellEnd"/>
      <w:r w:rsidRPr="00F45E8E">
        <w:rPr>
          <w:szCs w:val="18"/>
          <w:lang w:val="fr-FR"/>
        </w:rPr>
        <w:t xml:space="preserve"> LC et al. JAMA 2004; 292: 490-495</w:t>
      </w:r>
    </w:p>
  </w:endnote>
  <w:endnote w:id="3">
    <w:p w:rsidR="00E66987" w:rsidRDefault="00E66987" w:rsidP="00DD6890">
      <w:pPr>
        <w:pStyle w:val="Endnotentext"/>
        <w:spacing w:after="0"/>
      </w:pPr>
      <w:r w:rsidRPr="00F45E8E">
        <w:rPr>
          <w:rStyle w:val="Endnotenzeichen"/>
          <w:rFonts w:cs="Arial"/>
          <w:szCs w:val="18"/>
        </w:rPr>
        <w:endnoteRef/>
      </w:r>
      <w:r w:rsidRPr="00F45E8E">
        <w:rPr>
          <w:szCs w:val="18"/>
          <w:lang w:val="fr-FR"/>
        </w:rPr>
        <w:t xml:space="preserve"> </w:t>
      </w:r>
      <w:proofErr w:type="spellStart"/>
      <w:r w:rsidRPr="00F45E8E">
        <w:rPr>
          <w:szCs w:val="18"/>
          <w:lang w:val="fr-FR"/>
        </w:rPr>
        <w:t>Bone</w:t>
      </w:r>
      <w:proofErr w:type="spellEnd"/>
      <w:r w:rsidRPr="00F45E8E">
        <w:rPr>
          <w:szCs w:val="18"/>
          <w:lang w:val="fr-FR"/>
        </w:rPr>
        <w:t xml:space="preserve"> HG et al. </w:t>
      </w:r>
      <w:r w:rsidRPr="00A43CE6">
        <w:rPr>
          <w:szCs w:val="18"/>
          <w:lang w:val="fr-FR"/>
        </w:rPr>
        <w:t xml:space="preserve">J Clin </w:t>
      </w:r>
      <w:proofErr w:type="spellStart"/>
      <w:r w:rsidRPr="00A43CE6">
        <w:rPr>
          <w:szCs w:val="18"/>
          <w:lang w:val="fr-FR"/>
        </w:rPr>
        <w:t>Endocrinol</w:t>
      </w:r>
      <w:proofErr w:type="spellEnd"/>
      <w:r w:rsidRPr="00A43CE6">
        <w:rPr>
          <w:szCs w:val="18"/>
          <w:lang w:val="fr-FR"/>
        </w:rPr>
        <w:t xml:space="preserve"> </w:t>
      </w:r>
      <w:proofErr w:type="spellStart"/>
      <w:r w:rsidRPr="00A43CE6">
        <w:rPr>
          <w:szCs w:val="18"/>
          <w:lang w:val="fr-FR"/>
        </w:rPr>
        <w:t>Metab</w:t>
      </w:r>
      <w:proofErr w:type="spellEnd"/>
      <w:r w:rsidRPr="00A43CE6">
        <w:rPr>
          <w:szCs w:val="18"/>
          <w:lang w:val="fr-FR"/>
        </w:rPr>
        <w:t xml:space="preserve"> 2008; 93: 2149-2157</w:t>
      </w:r>
    </w:p>
  </w:endnote>
  <w:endnote w:id="4">
    <w:p w:rsidR="00E66987" w:rsidRDefault="00E66987" w:rsidP="00DD6890">
      <w:pPr>
        <w:pStyle w:val="Endnotentext"/>
        <w:spacing w:after="0"/>
      </w:pPr>
      <w:r w:rsidRPr="00F45E8E">
        <w:rPr>
          <w:rStyle w:val="Endnotenzeichen"/>
          <w:rFonts w:cs="Arial"/>
          <w:szCs w:val="18"/>
        </w:rPr>
        <w:endnoteRef/>
      </w:r>
      <w:r w:rsidRPr="00F45E8E">
        <w:rPr>
          <w:szCs w:val="18"/>
          <w:lang w:val="fr-FR"/>
        </w:rPr>
        <w:t xml:space="preserve"> Cummings SR et al. </w:t>
      </w:r>
      <w:r w:rsidRPr="00A43CE6">
        <w:rPr>
          <w:szCs w:val="18"/>
          <w:lang w:val="fr-FR"/>
        </w:rPr>
        <w:t xml:space="preserve">N </w:t>
      </w:r>
      <w:proofErr w:type="spellStart"/>
      <w:r w:rsidRPr="00A43CE6">
        <w:rPr>
          <w:szCs w:val="18"/>
          <w:lang w:val="fr-FR"/>
        </w:rPr>
        <w:t>Engl</w:t>
      </w:r>
      <w:proofErr w:type="spellEnd"/>
      <w:r w:rsidRPr="00A43CE6">
        <w:rPr>
          <w:szCs w:val="18"/>
          <w:lang w:val="fr-FR"/>
        </w:rPr>
        <w:t xml:space="preserve"> J Med 2009; 361: 756-65</w:t>
      </w:r>
    </w:p>
  </w:endnote>
  <w:endnote w:id="5">
    <w:p w:rsidR="00E66987" w:rsidRDefault="00E66987" w:rsidP="00DD6890">
      <w:pPr>
        <w:pStyle w:val="Endnotentext"/>
        <w:spacing w:after="0"/>
      </w:pPr>
      <w:r w:rsidRPr="00F45E8E">
        <w:rPr>
          <w:rStyle w:val="Endnotenzeichen"/>
          <w:rFonts w:cs="Arial"/>
          <w:szCs w:val="18"/>
        </w:rPr>
        <w:endnoteRef/>
      </w:r>
      <w:r w:rsidRPr="002C5A74">
        <w:rPr>
          <w:szCs w:val="18"/>
          <w:lang w:val="da-DK"/>
        </w:rPr>
        <w:t xml:space="preserve"> </w:t>
      </w:r>
      <w:r w:rsidRPr="002C5A74">
        <w:rPr>
          <w:szCs w:val="18"/>
          <w:lang w:val="da-DK"/>
        </w:rPr>
        <w:t>Brown JP et al. J Bone Miner Res 2009; 24:153-161</w:t>
      </w:r>
    </w:p>
  </w:endnote>
  <w:endnote w:id="6">
    <w:p w:rsidR="00E66987" w:rsidRDefault="00E66987" w:rsidP="00DD6890">
      <w:pPr>
        <w:pStyle w:val="Endnotentext"/>
        <w:spacing w:after="0"/>
      </w:pPr>
      <w:r w:rsidRPr="00F45E8E">
        <w:rPr>
          <w:rStyle w:val="Endnotenzeichen"/>
          <w:rFonts w:cs="Arial"/>
          <w:szCs w:val="18"/>
        </w:rPr>
        <w:endnoteRef/>
      </w:r>
      <w:r w:rsidRPr="002C5A74">
        <w:rPr>
          <w:szCs w:val="18"/>
          <w:lang w:val="da-DK"/>
        </w:rPr>
        <w:t xml:space="preserve"> </w:t>
      </w:r>
      <w:r w:rsidRPr="002C5A74">
        <w:rPr>
          <w:szCs w:val="18"/>
          <w:lang w:val="da-DK"/>
        </w:rPr>
        <w:t xml:space="preserve">Kendler </w:t>
      </w:r>
      <w:r w:rsidRPr="002C5A74">
        <w:rPr>
          <w:szCs w:val="18"/>
          <w:lang w:val="da-DK"/>
        </w:rPr>
        <w:t>DL et al. J Bone Miner Res 2010; 25: 72-81</w:t>
      </w:r>
    </w:p>
  </w:endnote>
  <w:endnote w:id="7">
    <w:p w:rsidR="00E66987" w:rsidRDefault="00E66987" w:rsidP="00DD6890">
      <w:pPr>
        <w:pStyle w:val="Endnotentext"/>
        <w:spacing w:after="0"/>
      </w:pPr>
      <w:r w:rsidRPr="00F45E8E">
        <w:rPr>
          <w:rStyle w:val="Endnotenzeichen"/>
          <w:rFonts w:cs="Arial"/>
          <w:szCs w:val="18"/>
        </w:rPr>
        <w:endnoteRef/>
      </w:r>
      <w:r w:rsidRPr="002C5A74">
        <w:rPr>
          <w:szCs w:val="18"/>
          <w:lang w:val="da-DK"/>
        </w:rPr>
        <w:t xml:space="preserve"> </w:t>
      </w:r>
      <w:r w:rsidRPr="002C5A74">
        <w:rPr>
          <w:szCs w:val="18"/>
          <w:lang w:val="da-DK"/>
        </w:rPr>
        <w:t xml:space="preserve">Miller </w:t>
      </w:r>
      <w:r w:rsidRPr="002C5A74">
        <w:rPr>
          <w:szCs w:val="18"/>
          <w:lang w:val="da-DK"/>
        </w:rPr>
        <w:t>P et al. Bone 2008; 43: 222-229</w:t>
      </w:r>
    </w:p>
  </w:endnote>
  <w:endnote w:id="8">
    <w:p w:rsidR="00E66987" w:rsidRDefault="00E66987" w:rsidP="00DD6890">
      <w:pPr>
        <w:pStyle w:val="Endnotentext"/>
        <w:spacing w:after="0"/>
      </w:pPr>
      <w:r w:rsidRPr="00F45E8E">
        <w:rPr>
          <w:rStyle w:val="Endnotenzeichen"/>
          <w:rFonts w:cs="Arial"/>
          <w:szCs w:val="18"/>
        </w:rPr>
        <w:endnoteRef/>
      </w:r>
      <w:r w:rsidRPr="002C5A74">
        <w:rPr>
          <w:szCs w:val="18"/>
          <w:lang w:val="da-DK"/>
        </w:rPr>
        <w:t xml:space="preserve"> </w:t>
      </w:r>
      <w:r w:rsidRPr="002C5A74">
        <w:rPr>
          <w:szCs w:val="18"/>
          <w:lang w:val="da-DK"/>
        </w:rPr>
        <w:t xml:space="preserve">Miller </w:t>
      </w:r>
      <w:r w:rsidRPr="002C5A74">
        <w:rPr>
          <w:szCs w:val="18"/>
          <w:lang w:val="da-DK"/>
        </w:rPr>
        <w:t xml:space="preserve">P et al. J Bone Miner Res 2011; 96 (2): 394-402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Neue-Medium-SC700">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987" w:rsidRDefault="00C41FAB" w:rsidP="00F40F07">
    <w:pPr>
      <w:pStyle w:val="Fuzeile"/>
      <w:framePr w:wrap="around" w:vAnchor="text" w:hAnchor="margin" w:xAlign="right" w:y="1"/>
      <w:rPr>
        <w:rStyle w:val="Seitenzahl"/>
      </w:rPr>
    </w:pPr>
    <w:r>
      <w:rPr>
        <w:rStyle w:val="Seitenzahl"/>
      </w:rPr>
      <w:fldChar w:fldCharType="begin"/>
    </w:r>
    <w:r w:rsidR="00E66987">
      <w:rPr>
        <w:rStyle w:val="Seitenzahl"/>
      </w:rPr>
      <w:instrText xml:space="preserve">PAGE  </w:instrText>
    </w:r>
    <w:r>
      <w:rPr>
        <w:rStyle w:val="Seitenzahl"/>
      </w:rPr>
      <w:fldChar w:fldCharType="end"/>
    </w:r>
  </w:p>
  <w:p w:rsidR="00E66987" w:rsidRDefault="00E66987" w:rsidP="009F48D0">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987" w:rsidRDefault="00C41FAB" w:rsidP="00CD10C1">
    <w:pPr>
      <w:pStyle w:val="Fuzeile"/>
      <w:framePr w:w="121" w:wrap="around" w:vAnchor="text" w:hAnchor="page" w:x="10702" w:y="11"/>
      <w:rPr>
        <w:rStyle w:val="Seitenzahl"/>
        <w:sz w:val="18"/>
        <w:szCs w:val="18"/>
      </w:rPr>
    </w:pPr>
    <w:r w:rsidRPr="001138CD">
      <w:rPr>
        <w:rStyle w:val="Seitenzahl"/>
        <w:sz w:val="18"/>
        <w:szCs w:val="18"/>
      </w:rPr>
      <w:fldChar w:fldCharType="begin"/>
    </w:r>
    <w:r w:rsidR="00E66987" w:rsidRPr="001138CD">
      <w:rPr>
        <w:rStyle w:val="Seitenzahl"/>
        <w:sz w:val="18"/>
        <w:szCs w:val="18"/>
      </w:rPr>
      <w:instrText xml:space="preserve">PAGE  </w:instrText>
    </w:r>
    <w:r w:rsidRPr="001138CD">
      <w:rPr>
        <w:rStyle w:val="Seitenzahl"/>
        <w:sz w:val="18"/>
        <w:szCs w:val="18"/>
      </w:rPr>
      <w:fldChar w:fldCharType="separate"/>
    </w:r>
    <w:r w:rsidR="002A74C6">
      <w:rPr>
        <w:rStyle w:val="Seitenzahl"/>
        <w:noProof/>
        <w:sz w:val="18"/>
        <w:szCs w:val="18"/>
      </w:rPr>
      <w:t>1</w:t>
    </w:r>
    <w:r w:rsidRPr="001138CD">
      <w:rPr>
        <w:rStyle w:val="Seitenzahl"/>
        <w:sz w:val="18"/>
        <w:szCs w:val="18"/>
      </w:rPr>
      <w:fldChar w:fldCharType="end"/>
    </w:r>
  </w:p>
  <w:p w:rsidR="00E66987" w:rsidRPr="00404662" w:rsidRDefault="00E66987" w:rsidP="009400A7">
    <w:pPr>
      <w:autoSpaceDE w:val="0"/>
      <w:autoSpaceDN w:val="0"/>
      <w:adjustRightInd w:val="0"/>
      <w:rPr>
        <w:rFonts w:cs="Arial"/>
        <w:i/>
        <w:color w:val="808080"/>
        <w:sz w:val="18"/>
        <w:szCs w:val="18"/>
        <w:lang w:val="de-AT"/>
      </w:rPr>
    </w:pPr>
    <w:r w:rsidRPr="00A43CE6">
      <w:rPr>
        <w:rFonts w:cs="Arial"/>
        <w:i/>
        <w:color w:val="808080"/>
        <w:sz w:val="18"/>
        <w:szCs w:val="18"/>
        <w:lang w:val="de-AT"/>
      </w:rPr>
      <w:t xml:space="preserve">……………………………………………………………………………………………………………………………………AMGEN.Press.Academy. am 4. April 2011    Update: innovative Strategien zur Bekämpfung der Osteoporose </w:t>
    </w:r>
    <w:r>
      <w:rPr>
        <w:rFonts w:cs="Arial"/>
        <w:i/>
        <w:color w:val="808080"/>
        <w:sz w:val="18"/>
        <w:szCs w:val="18"/>
        <w:lang w:val="de-AT"/>
      </w:rPr>
      <w:t>–</w:t>
    </w:r>
    <w:r w:rsidRPr="00A43CE6">
      <w:rPr>
        <w:rFonts w:cs="Arial"/>
        <w:i/>
        <w:color w:val="808080"/>
        <w:sz w:val="18"/>
        <w:szCs w:val="18"/>
        <w:lang w:val="de-AT"/>
      </w:rPr>
      <w:t xml:space="preserve"> vom bahnbrechenden </w:t>
    </w:r>
    <w:proofErr w:type="spellStart"/>
    <w:r w:rsidRPr="00A43CE6">
      <w:rPr>
        <w:rFonts w:cs="Arial"/>
        <w:i/>
        <w:color w:val="808080"/>
        <w:sz w:val="18"/>
        <w:szCs w:val="18"/>
        <w:lang w:val="de-AT"/>
      </w:rPr>
      <w:t>Biologikum</w:t>
    </w:r>
    <w:proofErr w:type="spellEnd"/>
    <w:r w:rsidRPr="00A43CE6">
      <w:rPr>
        <w:rFonts w:cs="Arial"/>
        <w:i/>
        <w:color w:val="808080"/>
        <w:sz w:val="18"/>
        <w:szCs w:val="18"/>
        <w:lang w:val="de-AT"/>
      </w:rPr>
      <w:t xml:space="preserve"> bis zur Compliance-Förderung durch </w:t>
    </w:r>
    <w:proofErr w:type="spellStart"/>
    <w:r w:rsidRPr="00A43CE6">
      <w:rPr>
        <w:rFonts w:cs="Arial"/>
        <w:i/>
        <w:color w:val="808080"/>
        <w:sz w:val="18"/>
        <w:szCs w:val="18"/>
        <w:lang w:val="de-AT"/>
      </w:rPr>
      <w:t>PatientInnenprgramme</w:t>
    </w:r>
    <w:proofErr w:type="spellEnd"/>
  </w:p>
  <w:p w:rsidR="00E66987" w:rsidRPr="001138CD" w:rsidRDefault="00E66987" w:rsidP="005F51C5">
    <w:pPr>
      <w:rPr>
        <w:i/>
        <w:color w:val="808080"/>
        <w:sz w:val="18"/>
        <w:lang w:val="de-DE"/>
      </w:rPr>
    </w:pPr>
    <w:r w:rsidRPr="005F51C5">
      <w:rPr>
        <w:rFonts w:cs="Arial"/>
        <w:i/>
        <w:color w:val="808080"/>
        <w:sz w:val="18"/>
        <w:szCs w:val="18"/>
        <w:lang w:val="de-DE"/>
      </w:rPr>
      <w:t xml:space="preserve">Univ.-Prof. Dr. </w:t>
    </w:r>
    <w:r>
      <w:rPr>
        <w:rFonts w:cs="Arial"/>
        <w:i/>
        <w:color w:val="808080"/>
        <w:sz w:val="18"/>
        <w:szCs w:val="18"/>
        <w:lang w:val="de-DE"/>
      </w:rPr>
      <w:t>Heinrich Resch</w:t>
    </w:r>
    <w:r w:rsidRPr="009400A7">
      <w:rPr>
        <w:rFonts w:cs="Arial"/>
        <w:i/>
        <w:color w:val="808080"/>
        <w:sz w:val="18"/>
        <w:szCs w:val="18"/>
        <w:lang w:val="de-DE"/>
      </w:rPr>
      <w:t>: „</w:t>
    </w:r>
    <w:r w:rsidRPr="005F51C5">
      <w:rPr>
        <w:rFonts w:cs="Arial"/>
        <w:i/>
        <w:color w:val="808080"/>
        <w:sz w:val="18"/>
        <w:szCs w:val="18"/>
        <w:lang w:val="de-DE"/>
      </w:rPr>
      <w:t>D</w:t>
    </w:r>
    <w:r>
      <w:rPr>
        <w:rFonts w:cs="Arial"/>
        <w:i/>
        <w:color w:val="808080"/>
        <w:sz w:val="18"/>
        <w:szCs w:val="18"/>
        <w:lang w:val="de-DE"/>
      </w:rPr>
      <w:t>i</w:t>
    </w:r>
    <w:r w:rsidRPr="005F51C5">
      <w:rPr>
        <w:rFonts w:cs="Arial"/>
        <w:i/>
        <w:color w:val="808080"/>
        <w:sz w:val="18"/>
        <w:szCs w:val="18"/>
        <w:lang w:val="de-DE"/>
      </w:rPr>
      <w:t>e</w:t>
    </w:r>
    <w:r>
      <w:rPr>
        <w:rFonts w:cs="Arial"/>
        <w:i/>
        <w:color w:val="808080"/>
        <w:sz w:val="18"/>
        <w:szCs w:val="18"/>
        <w:lang w:val="de-DE"/>
      </w:rPr>
      <w:t xml:space="preserve"> medikamentöse Therapie der Osteoporose – eine rasante Entwicklung“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31C" w:rsidRDefault="0059431C" w:rsidP="00801486">
      <w:r>
        <w:separator/>
      </w:r>
    </w:p>
  </w:footnote>
  <w:footnote w:type="continuationSeparator" w:id="0">
    <w:p w:rsidR="0059431C" w:rsidRDefault="0059431C" w:rsidP="008014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987" w:rsidRPr="00F66BC0" w:rsidRDefault="00E66987" w:rsidP="00781C25">
    <w:pPr>
      <w:pStyle w:val="Kopfzeile"/>
      <w:rPr>
        <w:sz w:val="36"/>
      </w:rPr>
    </w:pPr>
    <w:proofErr w:type="spellStart"/>
    <w:r w:rsidRPr="00F66BC0">
      <w:rPr>
        <w:sz w:val="36"/>
      </w:rPr>
      <w:t>AMGEN.Press.Academy</w:t>
    </w:r>
    <w:proofErr w:type="spellEnd"/>
    <w:r>
      <w:rPr>
        <w:sz w:val="36"/>
      </w:rPr>
      <w:t>.</w:t>
    </w:r>
  </w:p>
  <w:p w:rsidR="00E66987" w:rsidRPr="00781C25" w:rsidRDefault="00E66987" w:rsidP="00781C25">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10FA1"/>
    <w:multiLevelType w:val="multilevel"/>
    <w:tmpl w:val="A57A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5F33B1"/>
    <w:multiLevelType w:val="hybridMultilevel"/>
    <w:tmpl w:val="947A8D6A"/>
    <w:lvl w:ilvl="0" w:tplc="0407000B">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80605EC"/>
    <w:multiLevelType w:val="singleLevel"/>
    <w:tmpl w:val="734C9272"/>
    <w:lvl w:ilvl="0">
      <w:start w:val="1"/>
      <w:numFmt w:val="decimal"/>
      <w:lvlText w:val="%1."/>
      <w:lvlJc w:val="left"/>
      <w:pPr>
        <w:tabs>
          <w:tab w:val="num" w:pos="360"/>
        </w:tabs>
        <w:ind w:left="360" w:hanging="360"/>
      </w:pPr>
      <w:rPr>
        <w:rFonts w:cs="Times New Roman" w:hint="default"/>
      </w:rPr>
    </w:lvl>
  </w:abstractNum>
  <w:abstractNum w:abstractNumId="3">
    <w:nsid w:val="0E5C049C"/>
    <w:multiLevelType w:val="hybridMultilevel"/>
    <w:tmpl w:val="E7380A2C"/>
    <w:lvl w:ilvl="0" w:tplc="0C070001">
      <w:start w:val="1"/>
      <w:numFmt w:val="bullet"/>
      <w:lvlText w:val=""/>
      <w:lvlJc w:val="left"/>
      <w:pPr>
        <w:tabs>
          <w:tab w:val="num" w:pos="1068"/>
        </w:tabs>
        <w:ind w:left="1068" w:hanging="360"/>
      </w:pPr>
      <w:rPr>
        <w:rFonts w:ascii="Symbol" w:hAnsi="Symbol" w:hint="default"/>
      </w:rPr>
    </w:lvl>
    <w:lvl w:ilvl="1" w:tplc="0C070003" w:tentative="1">
      <w:start w:val="1"/>
      <w:numFmt w:val="bullet"/>
      <w:lvlText w:val="o"/>
      <w:lvlJc w:val="left"/>
      <w:pPr>
        <w:tabs>
          <w:tab w:val="num" w:pos="1788"/>
        </w:tabs>
        <w:ind w:left="1788" w:hanging="360"/>
      </w:pPr>
      <w:rPr>
        <w:rFonts w:ascii="Courier New" w:hAnsi="Courier New" w:hint="default"/>
      </w:rPr>
    </w:lvl>
    <w:lvl w:ilvl="2" w:tplc="0C070005" w:tentative="1">
      <w:start w:val="1"/>
      <w:numFmt w:val="bullet"/>
      <w:lvlText w:val=""/>
      <w:lvlJc w:val="left"/>
      <w:pPr>
        <w:tabs>
          <w:tab w:val="num" w:pos="2508"/>
        </w:tabs>
        <w:ind w:left="2508" w:hanging="360"/>
      </w:pPr>
      <w:rPr>
        <w:rFonts w:ascii="Wingdings" w:hAnsi="Wingdings" w:hint="default"/>
      </w:rPr>
    </w:lvl>
    <w:lvl w:ilvl="3" w:tplc="0C070001" w:tentative="1">
      <w:start w:val="1"/>
      <w:numFmt w:val="bullet"/>
      <w:lvlText w:val=""/>
      <w:lvlJc w:val="left"/>
      <w:pPr>
        <w:tabs>
          <w:tab w:val="num" w:pos="3228"/>
        </w:tabs>
        <w:ind w:left="3228" w:hanging="360"/>
      </w:pPr>
      <w:rPr>
        <w:rFonts w:ascii="Symbol" w:hAnsi="Symbol" w:hint="default"/>
      </w:rPr>
    </w:lvl>
    <w:lvl w:ilvl="4" w:tplc="0C070003" w:tentative="1">
      <w:start w:val="1"/>
      <w:numFmt w:val="bullet"/>
      <w:lvlText w:val="o"/>
      <w:lvlJc w:val="left"/>
      <w:pPr>
        <w:tabs>
          <w:tab w:val="num" w:pos="3948"/>
        </w:tabs>
        <w:ind w:left="3948" w:hanging="360"/>
      </w:pPr>
      <w:rPr>
        <w:rFonts w:ascii="Courier New" w:hAnsi="Courier New" w:hint="default"/>
      </w:rPr>
    </w:lvl>
    <w:lvl w:ilvl="5" w:tplc="0C070005" w:tentative="1">
      <w:start w:val="1"/>
      <w:numFmt w:val="bullet"/>
      <w:lvlText w:val=""/>
      <w:lvlJc w:val="left"/>
      <w:pPr>
        <w:tabs>
          <w:tab w:val="num" w:pos="4668"/>
        </w:tabs>
        <w:ind w:left="4668" w:hanging="360"/>
      </w:pPr>
      <w:rPr>
        <w:rFonts w:ascii="Wingdings" w:hAnsi="Wingdings" w:hint="default"/>
      </w:rPr>
    </w:lvl>
    <w:lvl w:ilvl="6" w:tplc="0C070001" w:tentative="1">
      <w:start w:val="1"/>
      <w:numFmt w:val="bullet"/>
      <w:lvlText w:val=""/>
      <w:lvlJc w:val="left"/>
      <w:pPr>
        <w:tabs>
          <w:tab w:val="num" w:pos="5388"/>
        </w:tabs>
        <w:ind w:left="5388" w:hanging="360"/>
      </w:pPr>
      <w:rPr>
        <w:rFonts w:ascii="Symbol" w:hAnsi="Symbol" w:hint="default"/>
      </w:rPr>
    </w:lvl>
    <w:lvl w:ilvl="7" w:tplc="0C070003" w:tentative="1">
      <w:start w:val="1"/>
      <w:numFmt w:val="bullet"/>
      <w:lvlText w:val="o"/>
      <w:lvlJc w:val="left"/>
      <w:pPr>
        <w:tabs>
          <w:tab w:val="num" w:pos="6108"/>
        </w:tabs>
        <w:ind w:left="6108" w:hanging="360"/>
      </w:pPr>
      <w:rPr>
        <w:rFonts w:ascii="Courier New" w:hAnsi="Courier New" w:hint="default"/>
      </w:rPr>
    </w:lvl>
    <w:lvl w:ilvl="8" w:tplc="0C070005" w:tentative="1">
      <w:start w:val="1"/>
      <w:numFmt w:val="bullet"/>
      <w:lvlText w:val=""/>
      <w:lvlJc w:val="left"/>
      <w:pPr>
        <w:tabs>
          <w:tab w:val="num" w:pos="6828"/>
        </w:tabs>
        <w:ind w:left="6828" w:hanging="360"/>
      </w:pPr>
      <w:rPr>
        <w:rFonts w:ascii="Wingdings" w:hAnsi="Wingdings" w:hint="default"/>
      </w:rPr>
    </w:lvl>
  </w:abstractNum>
  <w:abstractNum w:abstractNumId="4">
    <w:nsid w:val="14163315"/>
    <w:multiLevelType w:val="hybridMultilevel"/>
    <w:tmpl w:val="CE8AFFB0"/>
    <w:lvl w:ilvl="0" w:tplc="0C070001">
      <w:start w:val="1"/>
      <w:numFmt w:val="bullet"/>
      <w:lvlText w:val=""/>
      <w:lvlJc w:val="left"/>
      <w:pPr>
        <w:tabs>
          <w:tab w:val="num" w:pos="1068"/>
        </w:tabs>
        <w:ind w:left="1068" w:hanging="360"/>
      </w:pPr>
      <w:rPr>
        <w:rFonts w:ascii="Symbol" w:hAnsi="Symbol" w:hint="default"/>
      </w:rPr>
    </w:lvl>
    <w:lvl w:ilvl="1" w:tplc="0C070003" w:tentative="1">
      <w:start w:val="1"/>
      <w:numFmt w:val="bullet"/>
      <w:lvlText w:val="o"/>
      <w:lvlJc w:val="left"/>
      <w:pPr>
        <w:tabs>
          <w:tab w:val="num" w:pos="1788"/>
        </w:tabs>
        <w:ind w:left="1788" w:hanging="360"/>
      </w:pPr>
      <w:rPr>
        <w:rFonts w:ascii="Courier New" w:hAnsi="Courier New" w:hint="default"/>
      </w:rPr>
    </w:lvl>
    <w:lvl w:ilvl="2" w:tplc="0C070005" w:tentative="1">
      <w:start w:val="1"/>
      <w:numFmt w:val="bullet"/>
      <w:lvlText w:val=""/>
      <w:lvlJc w:val="left"/>
      <w:pPr>
        <w:tabs>
          <w:tab w:val="num" w:pos="2508"/>
        </w:tabs>
        <w:ind w:left="2508" w:hanging="360"/>
      </w:pPr>
      <w:rPr>
        <w:rFonts w:ascii="Wingdings" w:hAnsi="Wingdings" w:hint="default"/>
      </w:rPr>
    </w:lvl>
    <w:lvl w:ilvl="3" w:tplc="0C070001" w:tentative="1">
      <w:start w:val="1"/>
      <w:numFmt w:val="bullet"/>
      <w:lvlText w:val=""/>
      <w:lvlJc w:val="left"/>
      <w:pPr>
        <w:tabs>
          <w:tab w:val="num" w:pos="3228"/>
        </w:tabs>
        <w:ind w:left="3228" w:hanging="360"/>
      </w:pPr>
      <w:rPr>
        <w:rFonts w:ascii="Symbol" w:hAnsi="Symbol" w:hint="default"/>
      </w:rPr>
    </w:lvl>
    <w:lvl w:ilvl="4" w:tplc="0C070003" w:tentative="1">
      <w:start w:val="1"/>
      <w:numFmt w:val="bullet"/>
      <w:lvlText w:val="o"/>
      <w:lvlJc w:val="left"/>
      <w:pPr>
        <w:tabs>
          <w:tab w:val="num" w:pos="3948"/>
        </w:tabs>
        <w:ind w:left="3948" w:hanging="360"/>
      </w:pPr>
      <w:rPr>
        <w:rFonts w:ascii="Courier New" w:hAnsi="Courier New" w:hint="default"/>
      </w:rPr>
    </w:lvl>
    <w:lvl w:ilvl="5" w:tplc="0C070005" w:tentative="1">
      <w:start w:val="1"/>
      <w:numFmt w:val="bullet"/>
      <w:lvlText w:val=""/>
      <w:lvlJc w:val="left"/>
      <w:pPr>
        <w:tabs>
          <w:tab w:val="num" w:pos="4668"/>
        </w:tabs>
        <w:ind w:left="4668" w:hanging="360"/>
      </w:pPr>
      <w:rPr>
        <w:rFonts w:ascii="Wingdings" w:hAnsi="Wingdings" w:hint="default"/>
      </w:rPr>
    </w:lvl>
    <w:lvl w:ilvl="6" w:tplc="0C070001" w:tentative="1">
      <w:start w:val="1"/>
      <w:numFmt w:val="bullet"/>
      <w:lvlText w:val=""/>
      <w:lvlJc w:val="left"/>
      <w:pPr>
        <w:tabs>
          <w:tab w:val="num" w:pos="5388"/>
        </w:tabs>
        <w:ind w:left="5388" w:hanging="360"/>
      </w:pPr>
      <w:rPr>
        <w:rFonts w:ascii="Symbol" w:hAnsi="Symbol" w:hint="default"/>
      </w:rPr>
    </w:lvl>
    <w:lvl w:ilvl="7" w:tplc="0C070003" w:tentative="1">
      <w:start w:val="1"/>
      <w:numFmt w:val="bullet"/>
      <w:lvlText w:val="o"/>
      <w:lvlJc w:val="left"/>
      <w:pPr>
        <w:tabs>
          <w:tab w:val="num" w:pos="6108"/>
        </w:tabs>
        <w:ind w:left="6108" w:hanging="360"/>
      </w:pPr>
      <w:rPr>
        <w:rFonts w:ascii="Courier New" w:hAnsi="Courier New" w:hint="default"/>
      </w:rPr>
    </w:lvl>
    <w:lvl w:ilvl="8" w:tplc="0C070005" w:tentative="1">
      <w:start w:val="1"/>
      <w:numFmt w:val="bullet"/>
      <w:lvlText w:val=""/>
      <w:lvlJc w:val="left"/>
      <w:pPr>
        <w:tabs>
          <w:tab w:val="num" w:pos="6828"/>
        </w:tabs>
        <w:ind w:left="6828" w:hanging="360"/>
      </w:pPr>
      <w:rPr>
        <w:rFonts w:ascii="Wingdings" w:hAnsi="Wingdings" w:hint="default"/>
      </w:rPr>
    </w:lvl>
  </w:abstractNum>
  <w:abstractNum w:abstractNumId="5">
    <w:nsid w:val="15D37E3B"/>
    <w:multiLevelType w:val="hybridMultilevel"/>
    <w:tmpl w:val="945030B0"/>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
    <w:nsid w:val="17FE1014"/>
    <w:multiLevelType w:val="hybridMultilevel"/>
    <w:tmpl w:val="06CACA06"/>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7">
    <w:nsid w:val="1D5325AC"/>
    <w:multiLevelType w:val="hybridMultilevel"/>
    <w:tmpl w:val="C3123586"/>
    <w:lvl w:ilvl="0" w:tplc="0C070001">
      <w:start w:val="1"/>
      <w:numFmt w:val="bullet"/>
      <w:lvlText w:val=""/>
      <w:lvlJc w:val="left"/>
      <w:pPr>
        <w:tabs>
          <w:tab w:val="num" w:pos="780"/>
        </w:tabs>
        <w:ind w:left="780" w:hanging="360"/>
      </w:pPr>
      <w:rPr>
        <w:rFonts w:ascii="Symbol" w:hAnsi="Symbol" w:hint="default"/>
      </w:rPr>
    </w:lvl>
    <w:lvl w:ilvl="1" w:tplc="0C070003" w:tentative="1">
      <w:start w:val="1"/>
      <w:numFmt w:val="bullet"/>
      <w:lvlText w:val="o"/>
      <w:lvlJc w:val="left"/>
      <w:pPr>
        <w:tabs>
          <w:tab w:val="num" w:pos="1500"/>
        </w:tabs>
        <w:ind w:left="1500" w:hanging="360"/>
      </w:pPr>
      <w:rPr>
        <w:rFonts w:ascii="Courier New" w:hAnsi="Courier New" w:hint="default"/>
      </w:rPr>
    </w:lvl>
    <w:lvl w:ilvl="2" w:tplc="0C070005" w:tentative="1">
      <w:start w:val="1"/>
      <w:numFmt w:val="bullet"/>
      <w:lvlText w:val=""/>
      <w:lvlJc w:val="left"/>
      <w:pPr>
        <w:tabs>
          <w:tab w:val="num" w:pos="2220"/>
        </w:tabs>
        <w:ind w:left="2220" w:hanging="360"/>
      </w:pPr>
      <w:rPr>
        <w:rFonts w:ascii="Wingdings" w:hAnsi="Wingdings" w:hint="default"/>
      </w:rPr>
    </w:lvl>
    <w:lvl w:ilvl="3" w:tplc="0C070001" w:tentative="1">
      <w:start w:val="1"/>
      <w:numFmt w:val="bullet"/>
      <w:lvlText w:val=""/>
      <w:lvlJc w:val="left"/>
      <w:pPr>
        <w:tabs>
          <w:tab w:val="num" w:pos="2940"/>
        </w:tabs>
        <w:ind w:left="2940" w:hanging="360"/>
      </w:pPr>
      <w:rPr>
        <w:rFonts w:ascii="Symbol" w:hAnsi="Symbol" w:hint="default"/>
      </w:rPr>
    </w:lvl>
    <w:lvl w:ilvl="4" w:tplc="0C070003" w:tentative="1">
      <w:start w:val="1"/>
      <w:numFmt w:val="bullet"/>
      <w:lvlText w:val="o"/>
      <w:lvlJc w:val="left"/>
      <w:pPr>
        <w:tabs>
          <w:tab w:val="num" w:pos="3660"/>
        </w:tabs>
        <w:ind w:left="3660" w:hanging="360"/>
      </w:pPr>
      <w:rPr>
        <w:rFonts w:ascii="Courier New" w:hAnsi="Courier New" w:hint="default"/>
      </w:rPr>
    </w:lvl>
    <w:lvl w:ilvl="5" w:tplc="0C070005" w:tentative="1">
      <w:start w:val="1"/>
      <w:numFmt w:val="bullet"/>
      <w:lvlText w:val=""/>
      <w:lvlJc w:val="left"/>
      <w:pPr>
        <w:tabs>
          <w:tab w:val="num" w:pos="4380"/>
        </w:tabs>
        <w:ind w:left="4380" w:hanging="360"/>
      </w:pPr>
      <w:rPr>
        <w:rFonts w:ascii="Wingdings" w:hAnsi="Wingdings" w:hint="default"/>
      </w:rPr>
    </w:lvl>
    <w:lvl w:ilvl="6" w:tplc="0C070001" w:tentative="1">
      <w:start w:val="1"/>
      <w:numFmt w:val="bullet"/>
      <w:lvlText w:val=""/>
      <w:lvlJc w:val="left"/>
      <w:pPr>
        <w:tabs>
          <w:tab w:val="num" w:pos="5100"/>
        </w:tabs>
        <w:ind w:left="5100" w:hanging="360"/>
      </w:pPr>
      <w:rPr>
        <w:rFonts w:ascii="Symbol" w:hAnsi="Symbol" w:hint="default"/>
      </w:rPr>
    </w:lvl>
    <w:lvl w:ilvl="7" w:tplc="0C070003" w:tentative="1">
      <w:start w:val="1"/>
      <w:numFmt w:val="bullet"/>
      <w:lvlText w:val="o"/>
      <w:lvlJc w:val="left"/>
      <w:pPr>
        <w:tabs>
          <w:tab w:val="num" w:pos="5820"/>
        </w:tabs>
        <w:ind w:left="5820" w:hanging="360"/>
      </w:pPr>
      <w:rPr>
        <w:rFonts w:ascii="Courier New" w:hAnsi="Courier New" w:hint="default"/>
      </w:rPr>
    </w:lvl>
    <w:lvl w:ilvl="8" w:tplc="0C070005" w:tentative="1">
      <w:start w:val="1"/>
      <w:numFmt w:val="bullet"/>
      <w:lvlText w:val=""/>
      <w:lvlJc w:val="left"/>
      <w:pPr>
        <w:tabs>
          <w:tab w:val="num" w:pos="6540"/>
        </w:tabs>
        <w:ind w:left="6540" w:hanging="360"/>
      </w:pPr>
      <w:rPr>
        <w:rFonts w:ascii="Wingdings" w:hAnsi="Wingdings" w:hint="default"/>
      </w:rPr>
    </w:lvl>
  </w:abstractNum>
  <w:abstractNum w:abstractNumId="8">
    <w:nsid w:val="22804FA9"/>
    <w:multiLevelType w:val="multilevel"/>
    <w:tmpl w:val="A49A4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9973FE"/>
    <w:multiLevelType w:val="multilevel"/>
    <w:tmpl w:val="C7268E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972185"/>
    <w:multiLevelType w:val="multilevel"/>
    <w:tmpl w:val="26CAA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307D07"/>
    <w:multiLevelType w:val="hybridMultilevel"/>
    <w:tmpl w:val="C28038F6"/>
    <w:lvl w:ilvl="0" w:tplc="0C070001">
      <w:start w:val="1"/>
      <w:numFmt w:val="bullet"/>
      <w:lvlText w:val=""/>
      <w:lvlJc w:val="left"/>
      <w:pPr>
        <w:tabs>
          <w:tab w:val="num" w:pos="1200"/>
        </w:tabs>
        <w:ind w:left="1200" w:hanging="360"/>
      </w:pPr>
      <w:rPr>
        <w:rFonts w:ascii="Symbol" w:hAnsi="Symbol" w:hint="default"/>
      </w:rPr>
    </w:lvl>
    <w:lvl w:ilvl="1" w:tplc="04070001">
      <w:start w:val="1"/>
      <w:numFmt w:val="bullet"/>
      <w:lvlText w:val=""/>
      <w:lvlJc w:val="left"/>
      <w:pPr>
        <w:tabs>
          <w:tab w:val="num" w:pos="1920"/>
        </w:tabs>
        <w:ind w:left="1920" w:hanging="360"/>
      </w:pPr>
      <w:rPr>
        <w:rFonts w:ascii="Symbol" w:hAnsi="Symbol" w:hint="default"/>
      </w:rPr>
    </w:lvl>
    <w:lvl w:ilvl="2" w:tplc="0C070005" w:tentative="1">
      <w:start w:val="1"/>
      <w:numFmt w:val="bullet"/>
      <w:lvlText w:val=""/>
      <w:lvlJc w:val="left"/>
      <w:pPr>
        <w:tabs>
          <w:tab w:val="num" w:pos="2640"/>
        </w:tabs>
        <w:ind w:left="2640" w:hanging="360"/>
      </w:pPr>
      <w:rPr>
        <w:rFonts w:ascii="Wingdings" w:hAnsi="Wingdings" w:hint="default"/>
      </w:rPr>
    </w:lvl>
    <w:lvl w:ilvl="3" w:tplc="0C070001" w:tentative="1">
      <w:start w:val="1"/>
      <w:numFmt w:val="bullet"/>
      <w:lvlText w:val=""/>
      <w:lvlJc w:val="left"/>
      <w:pPr>
        <w:tabs>
          <w:tab w:val="num" w:pos="3360"/>
        </w:tabs>
        <w:ind w:left="3360" w:hanging="360"/>
      </w:pPr>
      <w:rPr>
        <w:rFonts w:ascii="Symbol" w:hAnsi="Symbol" w:hint="default"/>
      </w:rPr>
    </w:lvl>
    <w:lvl w:ilvl="4" w:tplc="0C070003" w:tentative="1">
      <w:start w:val="1"/>
      <w:numFmt w:val="bullet"/>
      <w:lvlText w:val="o"/>
      <w:lvlJc w:val="left"/>
      <w:pPr>
        <w:tabs>
          <w:tab w:val="num" w:pos="4080"/>
        </w:tabs>
        <w:ind w:left="4080" w:hanging="360"/>
      </w:pPr>
      <w:rPr>
        <w:rFonts w:ascii="Courier New" w:hAnsi="Courier New" w:hint="default"/>
      </w:rPr>
    </w:lvl>
    <w:lvl w:ilvl="5" w:tplc="0C070005" w:tentative="1">
      <w:start w:val="1"/>
      <w:numFmt w:val="bullet"/>
      <w:lvlText w:val=""/>
      <w:lvlJc w:val="left"/>
      <w:pPr>
        <w:tabs>
          <w:tab w:val="num" w:pos="4800"/>
        </w:tabs>
        <w:ind w:left="4800" w:hanging="360"/>
      </w:pPr>
      <w:rPr>
        <w:rFonts w:ascii="Wingdings" w:hAnsi="Wingdings" w:hint="default"/>
      </w:rPr>
    </w:lvl>
    <w:lvl w:ilvl="6" w:tplc="0C070001" w:tentative="1">
      <w:start w:val="1"/>
      <w:numFmt w:val="bullet"/>
      <w:lvlText w:val=""/>
      <w:lvlJc w:val="left"/>
      <w:pPr>
        <w:tabs>
          <w:tab w:val="num" w:pos="5520"/>
        </w:tabs>
        <w:ind w:left="5520" w:hanging="360"/>
      </w:pPr>
      <w:rPr>
        <w:rFonts w:ascii="Symbol" w:hAnsi="Symbol" w:hint="default"/>
      </w:rPr>
    </w:lvl>
    <w:lvl w:ilvl="7" w:tplc="0C070003" w:tentative="1">
      <w:start w:val="1"/>
      <w:numFmt w:val="bullet"/>
      <w:lvlText w:val="o"/>
      <w:lvlJc w:val="left"/>
      <w:pPr>
        <w:tabs>
          <w:tab w:val="num" w:pos="6240"/>
        </w:tabs>
        <w:ind w:left="6240" w:hanging="360"/>
      </w:pPr>
      <w:rPr>
        <w:rFonts w:ascii="Courier New" w:hAnsi="Courier New" w:hint="default"/>
      </w:rPr>
    </w:lvl>
    <w:lvl w:ilvl="8" w:tplc="0C070005" w:tentative="1">
      <w:start w:val="1"/>
      <w:numFmt w:val="bullet"/>
      <w:lvlText w:val=""/>
      <w:lvlJc w:val="left"/>
      <w:pPr>
        <w:tabs>
          <w:tab w:val="num" w:pos="6960"/>
        </w:tabs>
        <w:ind w:left="6960" w:hanging="360"/>
      </w:pPr>
      <w:rPr>
        <w:rFonts w:ascii="Wingdings" w:hAnsi="Wingdings" w:hint="default"/>
      </w:rPr>
    </w:lvl>
  </w:abstractNum>
  <w:abstractNum w:abstractNumId="12">
    <w:nsid w:val="3A9355EE"/>
    <w:multiLevelType w:val="hybridMultilevel"/>
    <w:tmpl w:val="87C07B88"/>
    <w:lvl w:ilvl="0" w:tplc="0088D67A">
      <w:start w:val="1"/>
      <w:numFmt w:val="upperRoman"/>
      <w:lvlText w:val="%1."/>
      <w:lvlJc w:val="left"/>
      <w:pPr>
        <w:ind w:left="2520" w:hanging="720"/>
      </w:pPr>
      <w:rPr>
        <w:rFonts w:cs="Times New Roman" w:hint="default"/>
      </w:rPr>
    </w:lvl>
    <w:lvl w:ilvl="1" w:tplc="04070019" w:tentative="1">
      <w:start w:val="1"/>
      <w:numFmt w:val="lowerLetter"/>
      <w:lvlText w:val="%2."/>
      <w:lvlJc w:val="left"/>
      <w:pPr>
        <w:ind w:left="2880" w:hanging="360"/>
      </w:pPr>
      <w:rPr>
        <w:rFonts w:cs="Times New Roman"/>
      </w:rPr>
    </w:lvl>
    <w:lvl w:ilvl="2" w:tplc="0407001B" w:tentative="1">
      <w:start w:val="1"/>
      <w:numFmt w:val="lowerRoman"/>
      <w:lvlText w:val="%3."/>
      <w:lvlJc w:val="right"/>
      <w:pPr>
        <w:ind w:left="3600" w:hanging="180"/>
      </w:pPr>
      <w:rPr>
        <w:rFonts w:cs="Times New Roman"/>
      </w:rPr>
    </w:lvl>
    <w:lvl w:ilvl="3" w:tplc="0407000F" w:tentative="1">
      <w:start w:val="1"/>
      <w:numFmt w:val="decimal"/>
      <w:lvlText w:val="%4."/>
      <w:lvlJc w:val="left"/>
      <w:pPr>
        <w:ind w:left="4320" w:hanging="360"/>
      </w:pPr>
      <w:rPr>
        <w:rFonts w:cs="Times New Roman"/>
      </w:rPr>
    </w:lvl>
    <w:lvl w:ilvl="4" w:tplc="04070019" w:tentative="1">
      <w:start w:val="1"/>
      <w:numFmt w:val="lowerLetter"/>
      <w:lvlText w:val="%5."/>
      <w:lvlJc w:val="left"/>
      <w:pPr>
        <w:ind w:left="5040" w:hanging="360"/>
      </w:pPr>
      <w:rPr>
        <w:rFonts w:cs="Times New Roman"/>
      </w:rPr>
    </w:lvl>
    <w:lvl w:ilvl="5" w:tplc="0407001B" w:tentative="1">
      <w:start w:val="1"/>
      <w:numFmt w:val="lowerRoman"/>
      <w:lvlText w:val="%6."/>
      <w:lvlJc w:val="right"/>
      <w:pPr>
        <w:ind w:left="5760" w:hanging="180"/>
      </w:pPr>
      <w:rPr>
        <w:rFonts w:cs="Times New Roman"/>
      </w:rPr>
    </w:lvl>
    <w:lvl w:ilvl="6" w:tplc="0407000F" w:tentative="1">
      <w:start w:val="1"/>
      <w:numFmt w:val="decimal"/>
      <w:lvlText w:val="%7."/>
      <w:lvlJc w:val="left"/>
      <w:pPr>
        <w:ind w:left="6480" w:hanging="360"/>
      </w:pPr>
      <w:rPr>
        <w:rFonts w:cs="Times New Roman"/>
      </w:rPr>
    </w:lvl>
    <w:lvl w:ilvl="7" w:tplc="04070019" w:tentative="1">
      <w:start w:val="1"/>
      <w:numFmt w:val="lowerLetter"/>
      <w:lvlText w:val="%8."/>
      <w:lvlJc w:val="left"/>
      <w:pPr>
        <w:ind w:left="7200" w:hanging="360"/>
      </w:pPr>
      <w:rPr>
        <w:rFonts w:cs="Times New Roman"/>
      </w:rPr>
    </w:lvl>
    <w:lvl w:ilvl="8" w:tplc="0407001B" w:tentative="1">
      <w:start w:val="1"/>
      <w:numFmt w:val="lowerRoman"/>
      <w:lvlText w:val="%9."/>
      <w:lvlJc w:val="right"/>
      <w:pPr>
        <w:ind w:left="7920" w:hanging="180"/>
      </w:pPr>
      <w:rPr>
        <w:rFonts w:cs="Times New Roman"/>
      </w:rPr>
    </w:lvl>
  </w:abstractNum>
  <w:abstractNum w:abstractNumId="13">
    <w:nsid w:val="3FE91C7E"/>
    <w:multiLevelType w:val="singleLevel"/>
    <w:tmpl w:val="734C9272"/>
    <w:lvl w:ilvl="0">
      <w:start w:val="1"/>
      <w:numFmt w:val="decimal"/>
      <w:lvlText w:val="%1."/>
      <w:lvlJc w:val="left"/>
      <w:pPr>
        <w:tabs>
          <w:tab w:val="num" w:pos="360"/>
        </w:tabs>
        <w:ind w:left="360" w:hanging="360"/>
      </w:pPr>
      <w:rPr>
        <w:rFonts w:cs="Times New Roman"/>
      </w:rPr>
    </w:lvl>
  </w:abstractNum>
  <w:abstractNum w:abstractNumId="14">
    <w:nsid w:val="46EF046E"/>
    <w:multiLevelType w:val="multilevel"/>
    <w:tmpl w:val="434E5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802AE7"/>
    <w:multiLevelType w:val="multilevel"/>
    <w:tmpl w:val="59F2F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A508D1"/>
    <w:multiLevelType w:val="multilevel"/>
    <w:tmpl w:val="DB04B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C61251"/>
    <w:multiLevelType w:val="multilevel"/>
    <w:tmpl w:val="B5503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CD0023"/>
    <w:multiLevelType w:val="multilevel"/>
    <w:tmpl w:val="F17CA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F86181"/>
    <w:multiLevelType w:val="hybridMultilevel"/>
    <w:tmpl w:val="A1D266EE"/>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20">
    <w:nsid w:val="56D167F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1">
    <w:nsid w:val="58353E0F"/>
    <w:multiLevelType w:val="hybridMultilevel"/>
    <w:tmpl w:val="F4F858D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nsid w:val="59CA7070"/>
    <w:multiLevelType w:val="multilevel"/>
    <w:tmpl w:val="72CC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790BFB"/>
    <w:multiLevelType w:val="multilevel"/>
    <w:tmpl w:val="8E62E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BC2ECF"/>
    <w:multiLevelType w:val="hybridMultilevel"/>
    <w:tmpl w:val="CD2492A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nsid w:val="654836CE"/>
    <w:multiLevelType w:val="multilevel"/>
    <w:tmpl w:val="54B4F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6081F71"/>
    <w:multiLevelType w:val="hybridMultilevel"/>
    <w:tmpl w:val="B0623148"/>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27">
    <w:nsid w:val="6D1D3FB1"/>
    <w:multiLevelType w:val="hybridMultilevel"/>
    <w:tmpl w:val="7A28AD5A"/>
    <w:lvl w:ilvl="0" w:tplc="0C07000F">
      <w:start w:val="1"/>
      <w:numFmt w:val="decimal"/>
      <w:lvlText w:val="%1."/>
      <w:lvlJc w:val="left"/>
      <w:pPr>
        <w:ind w:left="720" w:hanging="360"/>
      </w:pPr>
      <w:rPr>
        <w:rFonts w:cs="Times New Roman"/>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28">
    <w:nsid w:val="7388693F"/>
    <w:multiLevelType w:val="hybridMultilevel"/>
    <w:tmpl w:val="ADB44BE6"/>
    <w:lvl w:ilvl="0" w:tplc="0C070001">
      <w:start w:val="1"/>
      <w:numFmt w:val="bullet"/>
      <w:lvlText w:val=""/>
      <w:lvlJc w:val="left"/>
      <w:pPr>
        <w:tabs>
          <w:tab w:val="num" w:pos="1068"/>
        </w:tabs>
        <w:ind w:left="1068" w:hanging="360"/>
      </w:pPr>
      <w:rPr>
        <w:rFonts w:ascii="Symbol" w:hAnsi="Symbol" w:hint="default"/>
      </w:rPr>
    </w:lvl>
    <w:lvl w:ilvl="1" w:tplc="0C070003" w:tentative="1">
      <w:start w:val="1"/>
      <w:numFmt w:val="bullet"/>
      <w:lvlText w:val="o"/>
      <w:lvlJc w:val="left"/>
      <w:pPr>
        <w:tabs>
          <w:tab w:val="num" w:pos="1788"/>
        </w:tabs>
        <w:ind w:left="1788" w:hanging="360"/>
      </w:pPr>
      <w:rPr>
        <w:rFonts w:ascii="Courier New" w:hAnsi="Courier New" w:hint="default"/>
      </w:rPr>
    </w:lvl>
    <w:lvl w:ilvl="2" w:tplc="0C070005" w:tentative="1">
      <w:start w:val="1"/>
      <w:numFmt w:val="bullet"/>
      <w:lvlText w:val=""/>
      <w:lvlJc w:val="left"/>
      <w:pPr>
        <w:tabs>
          <w:tab w:val="num" w:pos="2508"/>
        </w:tabs>
        <w:ind w:left="2508" w:hanging="360"/>
      </w:pPr>
      <w:rPr>
        <w:rFonts w:ascii="Wingdings" w:hAnsi="Wingdings" w:hint="default"/>
      </w:rPr>
    </w:lvl>
    <w:lvl w:ilvl="3" w:tplc="0C070001" w:tentative="1">
      <w:start w:val="1"/>
      <w:numFmt w:val="bullet"/>
      <w:lvlText w:val=""/>
      <w:lvlJc w:val="left"/>
      <w:pPr>
        <w:tabs>
          <w:tab w:val="num" w:pos="3228"/>
        </w:tabs>
        <w:ind w:left="3228" w:hanging="360"/>
      </w:pPr>
      <w:rPr>
        <w:rFonts w:ascii="Symbol" w:hAnsi="Symbol" w:hint="default"/>
      </w:rPr>
    </w:lvl>
    <w:lvl w:ilvl="4" w:tplc="0C070003" w:tentative="1">
      <w:start w:val="1"/>
      <w:numFmt w:val="bullet"/>
      <w:lvlText w:val="o"/>
      <w:lvlJc w:val="left"/>
      <w:pPr>
        <w:tabs>
          <w:tab w:val="num" w:pos="3948"/>
        </w:tabs>
        <w:ind w:left="3948" w:hanging="360"/>
      </w:pPr>
      <w:rPr>
        <w:rFonts w:ascii="Courier New" w:hAnsi="Courier New" w:hint="default"/>
      </w:rPr>
    </w:lvl>
    <w:lvl w:ilvl="5" w:tplc="0C070005" w:tentative="1">
      <w:start w:val="1"/>
      <w:numFmt w:val="bullet"/>
      <w:lvlText w:val=""/>
      <w:lvlJc w:val="left"/>
      <w:pPr>
        <w:tabs>
          <w:tab w:val="num" w:pos="4668"/>
        </w:tabs>
        <w:ind w:left="4668" w:hanging="360"/>
      </w:pPr>
      <w:rPr>
        <w:rFonts w:ascii="Wingdings" w:hAnsi="Wingdings" w:hint="default"/>
      </w:rPr>
    </w:lvl>
    <w:lvl w:ilvl="6" w:tplc="0C070001" w:tentative="1">
      <w:start w:val="1"/>
      <w:numFmt w:val="bullet"/>
      <w:lvlText w:val=""/>
      <w:lvlJc w:val="left"/>
      <w:pPr>
        <w:tabs>
          <w:tab w:val="num" w:pos="5388"/>
        </w:tabs>
        <w:ind w:left="5388" w:hanging="360"/>
      </w:pPr>
      <w:rPr>
        <w:rFonts w:ascii="Symbol" w:hAnsi="Symbol" w:hint="default"/>
      </w:rPr>
    </w:lvl>
    <w:lvl w:ilvl="7" w:tplc="0C070003" w:tentative="1">
      <w:start w:val="1"/>
      <w:numFmt w:val="bullet"/>
      <w:lvlText w:val="o"/>
      <w:lvlJc w:val="left"/>
      <w:pPr>
        <w:tabs>
          <w:tab w:val="num" w:pos="6108"/>
        </w:tabs>
        <w:ind w:left="6108" w:hanging="360"/>
      </w:pPr>
      <w:rPr>
        <w:rFonts w:ascii="Courier New" w:hAnsi="Courier New" w:hint="default"/>
      </w:rPr>
    </w:lvl>
    <w:lvl w:ilvl="8" w:tplc="0C070005" w:tentative="1">
      <w:start w:val="1"/>
      <w:numFmt w:val="bullet"/>
      <w:lvlText w:val=""/>
      <w:lvlJc w:val="left"/>
      <w:pPr>
        <w:tabs>
          <w:tab w:val="num" w:pos="6828"/>
        </w:tabs>
        <w:ind w:left="6828" w:hanging="360"/>
      </w:pPr>
      <w:rPr>
        <w:rFonts w:ascii="Wingdings" w:hAnsi="Wingdings" w:hint="default"/>
      </w:rPr>
    </w:lvl>
  </w:abstractNum>
  <w:abstractNum w:abstractNumId="29">
    <w:nsid w:val="73915D72"/>
    <w:multiLevelType w:val="multilevel"/>
    <w:tmpl w:val="432A1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805F2A"/>
    <w:multiLevelType w:val="multilevel"/>
    <w:tmpl w:val="19E23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8FC3E99"/>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20"/>
  </w:num>
  <w:num w:numId="3">
    <w:abstractNumId w:val="31"/>
  </w:num>
  <w:num w:numId="4">
    <w:abstractNumId w:val="13"/>
  </w:num>
  <w:num w:numId="5">
    <w:abstractNumId w:val="5"/>
  </w:num>
  <w:num w:numId="6">
    <w:abstractNumId w:val="12"/>
  </w:num>
  <w:num w:numId="7">
    <w:abstractNumId w:val="7"/>
  </w:num>
  <w:num w:numId="8">
    <w:abstractNumId w:val="11"/>
  </w:num>
  <w:num w:numId="9">
    <w:abstractNumId w:val="4"/>
  </w:num>
  <w:num w:numId="10">
    <w:abstractNumId w:val="3"/>
  </w:num>
  <w:num w:numId="11">
    <w:abstractNumId w:val="28"/>
  </w:num>
  <w:num w:numId="12">
    <w:abstractNumId w:val="27"/>
  </w:num>
  <w:num w:numId="13">
    <w:abstractNumId w:val="26"/>
  </w:num>
  <w:num w:numId="14">
    <w:abstractNumId w:val="21"/>
  </w:num>
  <w:num w:numId="15">
    <w:abstractNumId w:val="24"/>
  </w:num>
  <w:num w:numId="16">
    <w:abstractNumId w:val="19"/>
  </w:num>
  <w:num w:numId="17">
    <w:abstractNumId w:val="6"/>
  </w:num>
  <w:num w:numId="18">
    <w:abstractNumId w:val="25"/>
  </w:num>
  <w:num w:numId="19">
    <w:abstractNumId w:val="8"/>
  </w:num>
  <w:num w:numId="20">
    <w:abstractNumId w:val="22"/>
  </w:num>
  <w:num w:numId="21">
    <w:abstractNumId w:val="18"/>
  </w:num>
  <w:num w:numId="22">
    <w:abstractNumId w:val="29"/>
  </w:num>
  <w:num w:numId="23">
    <w:abstractNumId w:val="9"/>
  </w:num>
  <w:num w:numId="24">
    <w:abstractNumId w:val="15"/>
  </w:num>
  <w:num w:numId="25">
    <w:abstractNumId w:val="10"/>
  </w:num>
  <w:num w:numId="26">
    <w:abstractNumId w:val="16"/>
  </w:num>
  <w:num w:numId="27">
    <w:abstractNumId w:val="0"/>
  </w:num>
  <w:num w:numId="28">
    <w:abstractNumId w:val="23"/>
  </w:num>
  <w:num w:numId="29">
    <w:abstractNumId w:val="17"/>
  </w:num>
  <w:num w:numId="30">
    <w:abstractNumId w:val="30"/>
  </w:num>
  <w:num w:numId="31">
    <w:abstractNumId w:val="14"/>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1441"/>
    <w:rsid w:val="00006081"/>
    <w:rsid w:val="00006568"/>
    <w:rsid w:val="000157D5"/>
    <w:rsid w:val="0004085A"/>
    <w:rsid w:val="00042FE0"/>
    <w:rsid w:val="00052889"/>
    <w:rsid w:val="00071758"/>
    <w:rsid w:val="0007204A"/>
    <w:rsid w:val="00075DE3"/>
    <w:rsid w:val="00077B31"/>
    <w:rsid w:val="00086F77"/>
    <w:rsid w:val="000934F1"/>
    <w:rsid w:val="000B759E"/>
    <w:rsid w:val="000B770E"/>
    <w:rsid w:val="000C18D8"/>
    <w:rsid w:val="000C58E8"/>
    <w:rsid w:val="000E5AA3"/>
    <w:rsid w:val="000F1C02"/>
    <w:rsid w:val="000F3B24"/>
    <w:rsid w:val="00110AFA"/>
    <w:rsid w:val="001138CD"/>
    <w:rsid w:val="0013239B"/>
    <w:rsid w:val="00144A30"/>
    <w:rsid w:val="00146A77"/>
    <w:rsid w:val="001572FB"/>
    <w:rsid w:val="00161D39"/>
    <w:rsid w:val="00176E51"/>
    <w:rsid w:val="0019057C"/>
    <w:rsid w:val="0019373C"/>
    <w:rsid w:val="00196731"/>
    <w:rsid w:val="001A4BE9"/>
    <w:rsid w:val="001A765F"/>
    <w:rsid w:val="001B13E6"/>
    <w:rsid w:val="001B7C25"/>
    <w:rsid w:val="001C1865"/>
    <w:rsid w:val="001E3BC3"/>
    <w:rsid w:val="00203F07"/>
    <w:rsid w:val="00204513"/>
    <w:rsid w:val="00220701"/>
    <w:rsid w:val="00231E44"/>
    <w:rsid w:val="00233B41"/>
    <w:rsid w:val="00263721"/>
    <w:rsid w:val="00274AB5"/>
    <w:rsid w:val="00283879"/>
    <w:rsid w:val="002A52E2"/>
    <w:rsid w:val="002A74C6"/>
    <w:rsid w:val="002A7C4D"/>
    <w:rsid w:val="002C1594"/>
    <w:rsid w:val="002C5A74"/>
    <w:rsid w:val="002E5A19"/>
    <w:rsid w:val="002F25DB"/>
    <w:rsid w:val="0030146C"/>
    <w:rsid w:val="00320885"/>
    <w:rsid w:val="0032108A"/>
    <w:rsid w:val="00332352"/>
    <w:rsid w:val="003455CE"/>
    <w:rsid w:val="00362160"/>
    <w:rsid w:val="003703FF"/>
    <w:rsid w:val="003820ED"/>
    <w:rsid w:val="003849E2"/>
    <w:rsid w:val="003A4F8E"/>
    <w:rsid w:val="003C0ABE"/>
    <w:rsid w:val="003C594D"/>
    <w:rsid w:val="003C5C25"/>
    <w:rsid w:val="003D71ED"/>
    <w:rsid w:val="003E164C"/>
    <w:rsid w:val="003F46E7"/>
    <w:rsid w:val="003F7AFF"/>
    <w:rsid w:val="00404662"/>
    <w:rsid w:val="00413D1E"/>
    <w:rsid w:val="00426312"/>
    <w:rsid w:val="00426F0B"/>
    <w:rsid w:val="00433606"/>
    <w:rsid w:val="00434416"/>
    <w:rsid w:val="004549A3"/>
    <w:rsid w:val="00462F8B"/>
    <w:rsid w:val="00464586"/>
    <w:rsid w:val="004804C8"/>
    <w:rsid w:val="00496BE9"/>
    <w:rsid w:val="004B4B56"/>
    <w:rsid w:val="004B6CAD"/>
    <w:rsid w:val="004C1EFF"/>
    <w:rsid w:val="004D16D6"/>
    <w:rsid w:val="004E148A"/>
    <w:rsid w:val="00504115"/>
    <w:rsid w:val="00511D2D"/>
    <w:rsid w:val="00537385"/>
    <w:rsid w:val="00540114"/>
    <w:rsid w:val="005540BD"/>
    <w:rsid w:val="00563F2E"/>
    <w:rsid w:val="00580D65"/>
    <w:rsid w:val="00584AED"/>
    <w:rsid w:val="00591DBE"/>
    <w:rsid w:val="0059431C"/>
    <w:rsid w:val="005B2317"/>
    <w:rsid w:val="005F1441"/>
    <w:rsid w:val="005F330B"/>
    <w:rsid w:val="005F51C5"/>
    <w:rsid w:val="0060165D"/>
    <w:rsid w:val="006151C0"/>
    <w:rsid w:val="00615C93"/>
    <w:rsid w:val="00616400"/>
    <w:rsid w:val="00621993"/>
    <w:rsid w:val="00621F1F"/>
    <w:rsid w:val="00633610"/>
    <w:rsid w:val="00635759"/>
    <w:rsid w:val="006458CB"/>
    <w:rsid w:val="00646F19"/>
    <w:rsid w:val="006556C6"/>
    <w:rsid w:val="006756FF"/>
    <w:rsid w:val="00695DC0"/>
    <w:rsid w:val="006A10D6"/>
    <w:rsid w:val="006D5CB5"/>
    <w:rsid w:val="006E0240"/>
    <w:rsid w:val="006F4267"/>
    <w:rsid w:val="006F700D"/>
    <w:rsid w:val="00713F52"/>
    <w:rsid w:val="00723C86"/>
    <w:rsid w:val="00725DBF"/>
    <w:rsid w:val="00730C4F"/>
    <w:rsid w:val="007527CF"/>
    <w:rsid w:val="00760865"/>
    <w:rsid w:val="00781C25"/>
    <w:rsid w:val="0079209D"/>
    <w:rsid w:val="00797A3D"/>
    <w:rsid w:val="007A171C"/>
    <w:rsid w:val="007A762C"/>
    <w:rsid w:val="007B20BE"/>
    <w:rsid w:val="007B5B95"/>
    <w:rsid w:val="007C283C"/>
    <w:rsid w:val="007C3007"/>
    <w:rsid w:val="007D09F0"/>
    <w:rsid w:val="00801486"/>
    <w:rsid w:val="008107B1"/>
    <w:rsid w:val="00812CD8"/>
    <w:rsid w:val="0082280C"/>
    <w:rsid w:val="00825D16"/>
    <w:rsid w:val="00827738"/>
    <w:rsid w:val="008350D3"/>
    <w:rsid w:val="00842506"/>
    <w:rsid w:val="00847A0E"/>
    <w:rsid w:val="00861AE7"/>
    <w:rsid w:val="0086246D"/>
    <w:rsid w:val="00881BCA"/>
    <w:rsid w:val="00891291"/>
    <w:rsid w:val="008949D4"/>
    <w:rsid w:val="00894D31"/>
    <w:rsid w:val="00896C4E"/>
    <w:rsid w:val="008B13D5"/>
    <w:rsid w:val="008B3630"/>
    <w:rsid w:val="008B4A2F"/>
    <w:rsid w:val="008C56A7"/>
    <w:rsid w:val="008D6F8A"/>
    <w:rsid w:val="008D7992"/>
    <w:rsid w:val="008E4F6C"/>
    <w:rsid w:val="008E6941"/>
    <w:rsid w:val="008F221B"/>
    <w:rsid w:val="009041B0"/>
    <w:rsid w:val="00913014"/>
    <w:rsid w:val="009239EE"/>
    <w:rsid w:val="009377A7"/>
    <w:rsid w:val="009400A7"/>
    <w:rsid w:val="0094220E"/>
    <w:rsid w:val="00944091"/>
    <w:rsid w:val="00945341"/>
    <w:rsid w:val="0097035D"/>
    <w:rsid w:val="0099488B"/>
    <w:rsid w:val="009A21AD"/>
    <w:rsid w:val="009B3E9E"/>
    <w:rsid w:val="009B7139"/>
    <w:rsid w:val="009C0630"/>
    <w:rsid w:val="009C26AF"/>
    <w:rsid w:val="009C37A0"/>
    <w:rsid w:val="009D2600"/>
    <w:rsid w:val="009E3C32"/>
    <w:rsid w:val="009F20FF"/>
    <w:rsid w:val="009F3761"/>
    <w:rsid w:val="009F48D0"/>
    <w:rsid w:val="00A0526A"/>
    <w:rsid w:val="00A114D8"/>
    <w:rsid w:val="00A116E8"/>
    <w:rsid w:val="00A138D2"/>
    <w:rsid w:val="00A15FDE"/>
    <w:rsid w:val="00A242B3"/>
    <w:rsid w:val="00A24982"/>
    <w:rsid w:val="00A30157"/>
    <w:rsid w:val="00A43CE6"/>
    <w:rsid w:val="00A4483A"/>
    <w:rsid w:val="00A607D8"/>
    <w:rsid w:val="00A6201A"/>
    <w:rsid w:val="00A66BA2"/>
    <w:rsid w:val="00A720F5"/>
    <w:rsid w:val="00A73EA8"/>
    <w:rsid w:val="00A76A18"/>
    <w:rsid w:val="00AA78E2"/>
    <w:rsid w:val="00AB1C21"/>
    <w:rsid w:val="00AC27E1"/>
    <w:rsid w:val="00AC4EE3"/>
    <w:rsid w:val="00AC7A4E"/>
    <w:rsid w:val="00AE3A02"/>
    <w:rsid w:val="00AE3C8C"/>
    <w:rsid w:val="00B03726"/>
    <w:rsid w:val="00B13C17"/>
    <w:rsid w:val="00B17C66"/>
    <w:rsid w:val="00B32C70"/>
    <w:rsid w:val="00B34DE8"/>
    <w:rsid w:val="00B40235"/>
    <w:rsid w:val="00B4274D"/>
    <w:rsid w:val="00B50161"/>
    <w:rsid w:val="00B62C76"/>
    <w:rsid w:val="00B74997"/>
    <w:rsid w:val="00B95BDC"/>
    <w:rsid w:val="00BB218E"/>
    <w:rsid w:val="00BB26CC"/>
    <w:rsid w:val="00BC33A8"/>
    <w:rsid w:val="00BD2A59"/>
    <w:rsid w:val="00BD7BFC"/>
    <w:rsid w:val="00BE03E3"/>
    <w:rsid w:val="00BE6976"/>
    <w:rsid w:val="00BF146A"/>
    <w:rsid w:val="00BF78A3"/>
    <w:rsid w:val="00C02972"/>
    <w:rsid w:val="00C234C6"/>
    <w:rsid w:val="00C3315B"/>
    <w:rsid w:val="00C334CB"/>
    <w:rsid w:val="00C3406D"/>
    <w:rsid w:val="00C34900"/>
    <w:rsid w:val="00C375C1"/>
    <w:rsid w:val="00C41FAB"/>
    <w:rsid w:val="00C43FAF"/>
    <w:rsid w:val="00C4677E"/>
    <w:rsid w:val="00C50BA3"/>
    <w:rsid w:val="00C561B4"/>
    <w:rsid w:val="00C573ED"/>
    <w:rsid w:val="00C70406"/>
    <w:rsid w:val="00C7273C"/>
    <w:rsid w:val="00C946AC"/>
    <w:rsid w:val="00C94738"/>
    <w:rsid w:val="00C9521F"/>
    <w:rsid w:val="00CA219D"/>
    <w:rsid w:val="00CA70F5"/>
    <w:rsid w:val="00CB6C3F"/>
    <w:rsid w:val="00CB74CD"/>
    <w:rsid w:val="00CC0C78"/>
    <w:rsid w:val="00CC2625"/>
    <w:rsid w:val="00CC4A25"/>
    <w:rsid w:val="00CC7FF1"/>
    <w:rsid w:val="00CD04E7"/>
    <w:rsid w:val="00CD06E2"/>
    <w:rsid w:val="00CD0EED"/>
    <w:rsid w:val="00CD10C1"/>
    <w:rsid w:val="00CE14E5"/>
    <w:rsid w:val="00CF5C9E"/>
    <w:rsid w:val="00CF74E3"/>
    <w:rsid w:val="00D026FD"/>
    <w:rsid w:val="00D02A9F"/>
    <w:rsid w:val="00D04933"/>
    <w:rsid w:val="00D05A3C"/>
    <w:rsid w:val="00D10E44"/>
    <w:rsid w:val="00D12040"/>
    <w:rsid w:val="00D21D85"/>
    <w:rsid w:val="00D24867"/>
    <w:rsid w:val="00D265CE"/>
    <w:rsid w:val="00D27B85"/>
    <w:rsid w:val="00D312D5"/>
    <w:rsid w:val="00D337E6"/>
    <w:rsid w:val="00D420E0"/>
    <w:rsid w:val="00D53243"/>
    <w:rsid w:val="00D55CCB"/>
    <w:rsid w:val="00D71007"/>
    <w:rsid w:val="00D72016"/>
    <w:rsid w:val="00D81EF0"/>
    <w:rsid w:val="00D84F32"/>
    <w:rsid w:val="00D95329"/>
    <w:rsid w:val="00DC04E5"/>
    <w:rsid w:val="00DC3336"/>
    <w:rsid w:val="00DD6890"/>
    <w:rsid w:val="00DE3064"/>
    <w:rsid w:val="00DE7C15"/>
    <w:rsid w:val="00E04D6A"/>
    <w:rsid w:val="00E073FC"/>
    <w:rsid w:val="00E1536B"/>
    <w:rsid w:val="00E17535"/>
    <w:rsid w:val="00E2679F"/>
    <w:rsid w:val="00E4019A"/>
    <w:rsid w:val="00E4087C"/>
    <w:rsid w:val="00E66987"/>
    <w:rsid w:val="00E74B41"/>
    <w:rsid w:val="00E75441"/>
    <w:rsid w:val="00EA3D0C"/>
    <w:rsid w:val="00EA3D31"/>
    <w:rsid w:val="00EA7A99"/>
    <w:rsid w:val="00EC05D8"/>
    <w:rsid w:val="00EC44EC"/>
    <w:rsid w:val="00ED2B36"/>
    <w:rsid w:val="00EF697C"/>
    <w:rsid w:val="00F01263"/>
    <w:rsid w:val="00F01ACA"/>
    <w:rsid w:val="00F030D1"/>
    <w:rsid w:val="00F111AC"/>
    <w:rsid w:val="00F240A5"/>
    <w:rsid w:val="00F2550E"/>
    <w:rsid w:val="00F31F74"/>
    <w:rsid w:val="00F3306A"/>
    <w:rsid w:val="00F33BAE"/>
    <w:rsid w:val="00F40F07"/>
    <w:rsid w:val="00F42B33"/>
    <w:rsid w:val="00F447D4"/>
    <w:rsid w:val="00F44CF9"/>
    <w:rsid w:val="00F45E8E"/>
    <w:rsid w:val="00F623C9"/>
    <w:rsid w:val="00F66BC0"/>
    <w:rsid w:val="00F90CAB"/>
    <w:rsid w:val="00FA21D3"/>
    <w:rsid w:val="00FA26ED"/>
    <w:rsid w:val="00FA5728"/>
    <w:rsid w:val="00FA6E7E"/>
    <w:rsid w:val="00FD25EF"/>
    <w:rsid w:val="00FD2930"/>
    <w:rsid w:val="00FD3FD8"/>
    <w:rsid w:val="00FF00A3"/>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6C4E"/>
    <w:rPr>
      <w:rFonts w:ascii="Arial" w:hAnsi="Arial"/>
      <w:sz w:val="24"/>
      <w:lang w:val="en-US" w:eastAsia="de-DE"/>
    </w:rPr>
  </w:style>
  <w:style w:type="paragraph" w:styleId="berschrift1">
    <w:name w:val="heading 1"/>
    <w:basedOn w:val="Standard"/>
    <w:link w:val="berschrift1Zchn"/>
    <w:uiPriority w:val="99"/>
    <w:qFormat/>
    <w:locked/>
    <w:rsid w:val="00161D39"/>
    <w:pPr>
      <w:spacing w:before="100" w:beforeAutospacing="1" w:after="100" w:afterAutospacing="1"/>
      <w:outlineLvl w:val="0"/>
    </w:pPr>
    <w:rPr>
      <w:rFonts w:cs="Arial"/>
      <w:b/>
      <w:bCs/>
      <w:kern w:val="36"/>
      <w:sz w:val="23"/>
      <w:szCs w:val="23"/>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161D39"/>
    <w:rPr>
      <w:rFonts w:ascii="Arial" w:hAnsi="Arial" w:cs="Arial"/>
      <w:b/>
      <w:bCs/>
      <w:kern w:val="36"/>
      <w:sz w:val="23"/>
      <w:szCs w:val="23"/>
    </w:rPr>
  </w:style>
  <w:style w:type="paragraph" w:styleId="Sprechblasentext">
    <w:name w:val="Balloon Text"/>
    <w:basedOn w:val="Standard"/>
    <w:link w:val="SprechblasentextZchn"/>
    <w:uiPriority w:val="99"/>
    <w:semiHidden/>
    <w:rsid w:val="001A765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1A765F"/>
    <w:rPr>
      <w:rFonts w:ascii="Tahoma" w:hAnsi="Tahoma" w:cs="Tahoma"/>
      <w:sz w:val="16"/>
      <w:szCs w:val="16"/>
      <w:lang w:val="en-US"/>
    </w:rPr>
  </w:style>
  <w:style w:type="paragraph" w:styleId="Textkrper">
    <w:name w:val="Body Text"/>
    <w:basedOn w:val="Standard"/>
    <w:link w:val="TextkrperZchn"/>
    <w:uiPriority w:val="99"/>
    <w:rsid w:val="00896C4E"/>
    <w:pPr>
      <w:jc w:val="both"/>
    </w:pPr>
  </w:style>
  <w:style w:type="character" w:customStyle="1" w:styleId="TextkrperZchn">
    <w:name w:val="Textkörper Zchn"/>
    <w:basedOn w:val="Absatz-Standardschriftart"/>
    <w:link w:val="Textkrper"/>
    <w:uiPriority w:val="99"/>
    <w:semiHidden/>
    <w:locked/>
    <w:rsid w:val="00B50161"/>
    <w:rPr>
      <w:rFonts w:ascii="Arial" w:hAnsi="Arial" w:cs="Times New Roman"/>
      <w:sz w:val="24"/>
      <w:lang w:eastAsia="de-DE"/>
    </w:rPr>
  </w:style>
  <w:style w:type="paragraph" w:styleId="Kopfzeile">
    <w:name w:val="header"/>
    <w:basedOn w:val="Standard"/>
    <w:link w:val="KopfzeileZchn"/>
    <w:uiPriority w:val="99"/>
    <w:semiHidden/>
    <w:rsid w:val="00801486"/>
    <w:pPr>
      <w:tabs>
        <w:tab w:val="center" w:pos="4536"/>
        <w:tab w:val="right" w:pos="9072"/>
      </w:tabs>
    </w:pPr>
  </w:style>
  <w:style w:type="character" w:customStyle="1" w:styleId="KopfzeileZchn">
    <w:name w:val="Kopfzeile Zchn"/>
    <w:basedOn w:val="Absatz-Standardschriftart"/>
    <w:link w:val="Kopfzeile"/>
    <w:uiPriority w:val="99"/>
    <w:semiHidden/>
    <w:locked/>
    <w:rsid w:val="00801486"/>
    <w:rPr>
      <w:rFonts w:ascii="Arial" w:hAnsi="Arial" w:cs="Times New Roman"/>
      <w:sz w:val="24"/>
      <w:lang w:val="en-US"/>
    </w:rPr>
  </w:style>
  <w:style w:type="paragraph" w:styleId="Fuzeile">
    <w:name w:val="footer"/>
    <w:basedOn w:val="Standard"/>
    <w:link w:val="FuzeileZchn"/>
    <w:uiPriority w:val="99"/>
    <w:rsid w:val="00801486"/>
    <w:pPr>
      <w:tabs>
        <w:tab w:val="center" w:pos="4536"/>
        <w:tab w:val="right" w:pos="9072"/>
      </w:tabs>
    </w:pPr>
  </w:style>
  <w:style w:type="character" w:customStyle="1" w:styleId="FuzeileZchn">
    <w:name w:val="Fußzeile Zchn"/>
    <w:basedOn w:val="Absatz-Standardschriftart"/>
    <w:link w:val="Fuzeile"/>
    <w:uiPriority w:val="99"/>
    <w:locked/>
    <w:rsid w:val="00801486"/>
    <w:rPr>
      <w:rFonts w:ascii="Arial" w:hAnsi="Arial" w:cs="Times New Roman"/>
      <w:sz w:val="24"/>
      <w:lang w:val="en-US"/>
    </w:rPr>
  </w:style>
  <w:style w:type="character" w:styleId="Seitenzahl">
    <w:name w:val="page number"/>
    <w:basedOn w:val="Absatz-Standardschriftart"/>
    <w:uiPriority w:val="99"/>
    <w:rsid w:val="001138CD"/>
    <w:rPr>
      <w:rFonts w:cs="Times New Roman"/>
    </w:rPr>
  </w:style>
  <w:style w:type="paragraph" w:customStyle="1" w:styleId="Style4">
    <w:name w:val="Style4"/>
    <w:basedOn w:val="Standard"/>
    <w:next w:val="Standard"/>
    <w:uiPriority w:val="99"/>
    <w:rsid w:val="00AE3C8C"/>
    <w:pPr>
      <w:widowControl w:val="0"/>
      <w:autoSpaceDE w:val="0"/>
      <w:autoSpaceDN w:val="0"/>
      <w:adjustRightInd w:val="0"/>
    </w:pPr>
    <w:rPr>
      <w:rFonts w:ascii="Helvetica Neue-Medium-SC700" w:eastAsia="SimSun" w:hAnsi="Helvetica Neue-Medium-SC700" w:cs="Helvetica Neue-Medium-SC700"/>
      <w:sz w:val="16"/>
      <w:szCs w:val="16"/>
      <w:lang w:eastAsia="zh-CN"/>
    </w:rPr>
  </w:style>
  <w:style w:type="character" w:styleId="Hyperlink">
    <w:name w:val="Hyperlink"/>
    <w:basedOn w:val="Absatz-Standardschriftart"/>
    <w:uiPriority w:val="99"/>
    <w:rsid w:val="005F51C5"/>
    <w:rPr>
      <w:rFonts w:cs="Times New Roman"/>
      <w:color w:val="0000FF"/>
      <w:u w:val="single"/>
    </w:rPr>
  </w:style>
  <w:style w:type="paragraph" w:styleId="berarbeitung">
    <w:name w:val="Revision"/>
    <w:hidden/>
    <w:uiPriority w:val="99"/>
    <w:semiHidden/>
    <w:rsid w:val="00A720F5"/>
    <w:rPr>
      <w:rFonts w:ascii="Arial" w:hAnsi="Arial"/>
      <w:sz w:val="24"/>
      <w:lang w:val="en-US" w:eastAsia="de-DE"/>
    </w:rPr>
  </w:style>
  <w:style w:type="character" w:customStyle="1" w:styleId="ZchnZchn2">
    <w:name w:val="Zchn Zchn2"/>
    <w:basedOn w:val="Absatz-Standardschriftart"/>
    <w:uiPriority w:val="99"/>
    <w:semiHidden/>
    <w:rsid w:val="00A720F5"/>
    <w:rPr>
      <w:rFonts w:ascii="Arial" w:hAnsi="Arial" w:cs="Times New Roman"/>
      <w:sz w:val="24"/>
      <w:lang w:val="en-US"/>
    </w:rPr>
  </w:style>
  <w:style w:type="character" w:customStyle="1" w:styleId="ZchnZchn1">
    <w:name w:val="Zchn Zchn1"/>
    <w:basedOn w:val="Absatz-Standardschriftart"/>
    <w:uiPriority w:val="99"/>
    <w:rsid w:val="00A720F5"/>
    <w:rPr>
      <w:rFonts w:ascii="Arial" w:hAnsi="Arial" w:cs="Times New Roman"/>
      <w:sz w:val="24"/>
      <w:lang w:val="en-US"/>
    </w:rPr>
  </w:style>
  <w:style w:type="character" w:customStyle="1" w:styleId="ZchnZchn">
    <w:name w:val="Zchn Zchn"/>
    <w:basedOn w:val="Absatz-Standardschriftart"/>
    <w:uiPriority w:val="99"/>
    <w:semiHidden/>
    <w:rsid w:val="00A720F5"/>
    <w:rPr>
      <w:rFonts w:ascii="Tahoma" w:hAnsi="Tahoma" w:cs="Tahoma"/>
      <w:sz w:val="16"/>
      <w:szCs w:val="16"/>
      <w:lang w:val="en-US"/>
    </w:rPr>
  </w:style>
  <w:style w:type="character" w:customStyle="1" w:styleId="sanfang">
    <w:name w:val="sanfang"/>
    <w:basedOn w:val="Absatz-Standardschriftart"/>
    <w:uiPriority w:val="99"/>
    <w:rsid w:val="00161D39"/>
    <w:rPr>
      <w:rFonts w:cs="Times New Roman"/>
    </w:rPr>
  </w:style>
  <w:style w:type="character" w:customStyle="1" w:styleId="linkkleinuberschrift">
    <w:name w:val="linkkleinuberschrift"/>
    <w:basedOn w:val="Absatz-Standardschriftart"/>
    <w:uiPriority w:val="99"/>
    <w:rsid w:val="00161D39"/>
    <w:rPr>
      <w:rFonts w:cs="Times New Roman"/>
    </w:rPr>
  </w:style>
  <w:style w:type="character" w:customStyle="1" w:styleId="normallink">
    <w:name w:val="normallink"/>
    <w:basedOn w:val="Absatz-Standardschriftart"/>
    <w:uiPriority w:val="99"/>
    <w:rsid w:val="00161D39"/>
    <w:rPr>
      <w:rFonts w:cs="Times New Roman"/>
    </w:rPr>
  </w:style>
  <w:style w:type="character" w:customStyle="1" w:styleId="normtextstress">
    <w:name w:val="normtextstress"/>
    <w:basedOn w:val="Absatz-Standardschriftart"/>
    <w:uiPriority w:val="99"/>
    <w:rsid w:val="00161D39"/>
    <w:rPr>
      <w:rFonts w:cs="Times New Roman"/>
    </w:rPr>
  </w:style>
  <w:style w:type="paragraph" w:styleId="StandardWeb">
    <w:name w:val="Normal (Web)"/>
    <w:basedOn w:val="Standard"/>
    <w:uiPriority w:val="99"/>
    <w:rsid w:val="00161D39"/>
    <w:pPr>
      <w:spacing w:before="100" w:beforeAutospacing="1" w:after="100" w:afterAutospacing="1"/>
    </w:pPr>
    <w:rPr>
      <w:rFonts w:ascii="Times New Roman" w:hAnsi="Times New Roman"/>
      <w:szCs w:val="24"/>
      <w:lang w:val="de-DE"/>
    </w:rPr>
  </w:style>
  <w:style w:type="paragraph" w:customStyle="1" w:styleId="normtextstress1">
    <w:name w:val="normtextstress1"/>
    <w:basedOn w:val="Standard"/>
    <w:uiPriority w:val="99"/>
    <w:rsid w:val="00161D39"/>
    <w:pPr>
      <w:spacing w:before="100" w:beforeAutospacing="1" w:after="100" w:afterAutospacing="1"/>
    </w:pPr>
    <w:rPr>
      <w:rFonts w:ascii="Times New Roman" w:hAnsi="Times New Roman"/>
      <w:szCs w:val="24"/>
      <w:lang w:val="de-DE"/>
    </w:rPr>
  </w:style>
  <w:style w:type="character" w:customStyle="1" w:styleId="normstressklein">
    <w:name w:val="normstressklein"/>
    <w:basedOn w:val="Absatz-Standardschriftart"/>
    <w:uiPriority w:val="99"/>
    <w:rsid w:val="00161D39"/>
    <w:rPr>
      <w:rFonts w:cs="Times New Roman"/>
    </w:rPr>
  </w:style>
  <w:style w:type="character" w:customStyle="1" w:styleId="quelle">
    <w:name w:val="quelle"/>
    <w:basedOn w:val="Absatz-Standardschriftart"/>
    <w:uiPriority w:val="99"/>
    <w:rsid w:val="00161D39"/>
    <w:rPr>
      <w:rFonts w:cs="Times New Roman"/>
    </w:rPr>
  </w:style>
  <w:style w:type="character" w:customStyle="1" w:styleId="normstress9">
    <w:name w:val="normstress9"/>
    <w:basedOn w:val="Absatz-Standardschriftart"/>
    <w:uiPriority w:val="99"/>
    <w:rsid w:val="00161D39"/>
    <w:rPr>
      <w:rFonts w:cs="Times New Roman"/>
    </w:rPr>
  </w:style>
  <w:style w:type="paragraph" w:styleId="Kommentartext">
    <w:name w:val="annotation text"/>
    <w:basedOn w:val="Standard"/>
    <w:link w:val="KommentartextZchn"/>
    <w:uiPriority w:val="99"/>
    <w:rsid w:val="00A73EA8"/>
    <w:rPr>
      <w:rFonts w:cs="Arial"/>
      <w:sz w:val="20"/>
      <w:lang w:val="de-DE" w:eastAsia="en-US"/>
    </w:rPr>
  </w:style>
  <w:style w:type="character" w:customStyle="1" w:styleId="KommentartextZchn">
    <w:name w:val="Kommentartext Zchn"/>
    <w:basedOn w:val="Absatz-Standardschriftart"/>
    <w:link w:val="Kommentartext"/>
    <w:uiPriority w:val="99"/>
    <w:locked/>
    <w:rsid w:val="00A73EA8"/>
    <w:rPr>
      <w:rFonts w:ascii="Arial" w:hAnsi="Arial" w:cs="Arial"/>
      <w:lang w:val="de-DE" w:eastAsia="en-US"/>
    </w:rPr>
  </w:style>
  <w:style w:type="paragraph" w:styleId="Endnotentext">
    <w:name w:val="endnote text"/>
    <w:basedOn w:val="Standard"/>
    <w:link w:val="EndnotentextZchn"/>
    <w:uiPriority w:val="99"/>
    <w:rsid w:val="00A73EA8"/>
    <w:pPr>
      <w:spacing w:after="120"/>
    </w:pPr>
    <w:rPr>
      <w:rFonts w:cs="Arial"/>
      <w:sz w:val="20"/>
      <w:lang w:val="de-DE" w:eastAsia="en-US"/>
    </w:rPr>
  </w:style>
  <w:style w:type="character" w:customStyle="1" w:styleId="EndnotentextZchn">
    <w:name w:val="Endnotentext Zchn"/>
    <w:basedOn w:val="Absatz-Standardschriftart"/>
    <w:link w:val="Endnotentext"/>
    <w:uiPriority w:val="99"/>
    <w:locked/>
    <w:rsid w:val="00A73EA8"/>
    <w:rPr>
      <w:rFonts w:ascii="Arial" w:hAnsi="Arial" w:cs="Arial"/>
      <w:lang w:val="de-DE" w:eastAsia="en-US"/>
    </w:rPr>
  </w:style>
  <w:style w:type="character" w:styleId="Endnotenzeichen">
    <w:name w:val="endnote reference"/>
    <w:basedOn w:val="Absatz-Standardschriftart"/>
    <w:uiPriority w:val="99"/>
    <w:rsid w:val="00A73EA8"/>
    <w:rPr>
      <w:rFonts w:cs="Times New Roman"/>
      <w:vertAlign w:val="superscript"/>
    </w:rPr>
  </w:style>
  <w:style w:type="paragraph" w:customStyle="1" w:styleId="Zwischentitel">
    <w:name w:val="Zwischentitel"/>
    <w:basedOn w:val="Standard"/>
    <w:next w:val="Standard"/>
    <w:uiPriority w:val="99"/>
    <w:rsid w:val="00A73EA8"/>
    <w:rPr>
      <w:rFonts w:ascii="Lucida Sans Unicode" w:hAnsi="Lucida Sans Unicode"/>
      <w:b/>
      <w:w w:val="110"/>
      <w:sz w:val="22"/>
      <w:lang w:val="de-DE"/>
    </w:rPr>
  </w:style>
  <w:style w:type="character" w:styleId="Fett">
    <w:name w:val="Strong"/>
    <w:basedOn w:val="Absatz-Standardschriftart"/>
    <w:uiPriority w:val="99"/>
    <w:qFormat/>
    <w:locked/>
    <w:rsid w:val="00AC4EE3"/>
    <w:rPr>
      <w:rFonts w:cs="Times New Roman"/>
      <w:b/>
      <w:bCs/>
    </w:rPr>
  </w:style>
</w:styles>
</file>

<file path=word/webSettings.xml><?xml version="1.0" encoding="utf-8"?>
<w:webSettings xmlns:r="http://schemas.openxmlformats.org/officeDocument/2006/relationships" xmlns:w="http://schemas.openxmlformats.org/wordprocessingml/2006/main">
  <w:divs>
    <w:div w:id="2086418521">
      <w:marLeft w:val="0"/>
      <w:marRight w:val="0"/>
      <w:marTop w:val="0"/>
      <w:marBottom w:val="0"/>
      <w:divBdr>
        <w:top w:val="none" w:sz="0" w:space="0" w:color="auto"/>
        <w:left w:val="none" w:sz="0" w:space="0" w:color="auto"/>
        <w:bottom w:val="none" w:sz="0" w:space="0" w:color="auto"/>
        <w:right w:val="none" w:sz="0" w:space="0" w:color="auto"/>
      </w:divBdr>
    </w:div>
    <w:div w:id="20864185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makeRemote('lexikon.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steoporose.co.at/knostoffwechs.html"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tdoktor.at/ratschlaege/fakten/wechseljahre.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osteoporose.co.at/medikamentoes.html" TargetMode="External"/><Relationship Id="rId4" Type="http://schemas.openxmlformats.org/officeDocument/2006/relationships/webSettings" Target="webSettings.xml"/><Relationship Id="rId9" Type="http://schemas.openxmlformats.org/officeDocument/2006/relationships/hyperlink" Target="javascript:makeRemote('lexikon.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2873</Words>
  <Characters>18103</Characters>
  <Application>Microsoft Office Word</Application>
  <DocSecurity>0</DocSecurity>
  <Lines>150</Lines>
  <Paragraphs>41</Paragraphs>
  <ScaleCrop>false</ScaleCrop>
  <HeadingPairs>
    <vt:vector size="2" baseType="variant">
      <vt:variant>
        <vt:lpstr>Titel</vt:lpstr>
      </vt:variant>
      <vt:variant>
        <vt:i4>1</vt:i4>
      </vt:variant>
    </vt:vector>
  </HeadingPairs>
  <TitlesOfParts>
    <vt:vector size="1" baseType="lpstr">
      <vt:lpstr>Univ</vt:lpstr>
    </vt:vector>
  </TitlesOfParts>
  <Company>Office 2007</Company>
  <LinksUpToDate>false</LinksUpToDate>
  <CharactersWithSpaces>20935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MMC</dc:creator>
  <cp:keywords/>
  <dc:description/>
  <cp:lastModifiedBy>harald</cp:lastModifiedBy>
  <cp:revision>7</cp:revision>
  <cp:lastPrinted>2011-04-04T11:07:00Z</cp:lastPrinted>
  <dcterms:created xsi:type="dcterms:W3CDTF">2011-03-22T12:45:00Z</dcterms:created>
  <dcterms:modified xsi:type="dcterms:W3CDTF">2011-04-04T12:57:00Z</dcterms:modified>
</cp:coreProperties>
</file>