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BD" w:rsidRDefault="003A0C86" w:rsidP="0009161E">
      <w:pPr>
        <w:spacing w:after="120"/>
        <w:rPr>
          <w:rFonts w:ascii="Arial" w:hAnsi="Arial" w:cs="Arial"/>
          <w:b/>
          <w:bCs/>
          <w:sz w:val="22"/>
          <w:szCs w:val="22"/>
        </w:rPr>
      </w:pPr>
      <w:r>
        <w:rPr>
          <w:rFonts w:ascii="Arial" w:hAnsi="Arial" w:cs="Arial"/>
          <w:b/>
          <w:bCs/>
          <w:sz w:val="22"/>
          <w:szCs w:val="22"/>
        </w:rPr>
        <w:t xml:space="preserve">Medieninformation der Österreichischen Gesellschaft für </w:t>
      </w:r>
      <w:proofErr w:type="spellStart"/>
      <w:r>
        <w:rPr>
          <w:rFonts w:ascii="Arial" w:hAnsi="Arial" w:cs="Arial"/>
          <w:b/>
          <w:bCs/>
          <w:sz w:val="22"/>
          <w:szCs w:val="22"/>
        </w:rPr>
        <w:t>Pneumologie</w:t>
      </w:r>
      <w:proofErr w:type="spellEnd"/>
      <w:r>
        <w:rPr>
          <w:rFonts w:ascii="Arial" w:hAnsi="Arial" w:cs="Arial"/>
          <w:b/>
          <w:bCs/>
          <w:sz w:val="22"/>
          <w:szCs w:val="22"/>
        </w:rPr>
        <w:t xml:space="preserve"> (ÖGP)</w:t>
      </w:r>
    </w:p>
    <w:p w:rsidR="008D0DBD" w:rsidRDefault="003A0C86" w:rsidP="0009161E">
      <w:pPr>
        <w:spacing w:after="120"/>
        <w:rPr>
          <w:rFonts w:ascii="Arial" w:hAnsi="Arial" w:cs="Arial"/>
          <w:b/>
          <w:bCs/>
          <w:sz w:val="22"/>
          <w:szCs w:val="22"/>
        </w:rPr>
      </w:pPr>
      <w:r>
        <w:rPr>
          <w:rFonts w:ascii="Arial" w:hAnsi="Arial" w:cs="Arial"/>
          <w:b/>
          <w:bCs/>
          <w:sz w:val="22"/>
          <w:szCs w:val="22"/>
        </w:rPr>
        <w:t>Welt-Tuberkulosetag am 24. März 2014</w:t>
      </w:r>
    </w:p>
    <w:p w:rsidR="008D0DBD" w:rsidRDefault="008D0DBD" w:rsidP="0009161E">
      <w:pPr>
        <w:spacing w:after="120"/>
        <w:rPr>
          <w:rFonts w:ascii="Arial" w:hAnsi="Arial" w:cs="Arial"/>
          <w:b/>
          <w:bCs/>
          <w:sz w:val="22"/>
          <w:szCs w:val="22"/>
        </w:rPr>
      </w:pPr>
    </w:p>
    <w:p w:rsidR="008D0DBD" w:rsidRDefault="003A0C86" w:rsidP="0009161E">
      <w:pPr>
        <w:spacing w:after="120"/>
        <w:rPr>
          <w:rFonts w:ascii="Arial" w:hAnsi="Arial" w:cs="Arial"/>
          <w:b/>
          <w:bCs/>
          <w:color w:val="000000"/>
          <w:sz w:val="28"/>
          <w:szCs w:val="28"/>
        </w:rPr>
      </w:pPr>
      <w:r>
        <w:rPr>
          <w:rFonts w:ascii="Arial" w:hAnsi="Arial" w:cs="Arial"/>
          <w:b/>
          <w:bCs/>
          <w:color w:val="000000"/>
          <w:sz w:val="28"/>
          <w:szCs w:val="28"/>
        </w:rPr>
        <w:t>Tuberkulose: Trotz leicht sinkender Zahlen in Österreich gibt steigende Zahl multiresistenter TBC-Erkrankungen Anlass zur Sorge</w:t>
      </w:r>
    </w:p>
    <w:p w:rsidR="008D0DBD" w:rsidRDefault="003A0C86" w:rsidP="0009161E">
      <w:pPr>
        <w:spacing w:after="120"/>
        <w:rPr>
          <w:rFonts w:ascii="Arial" w:hAnsi="Arial" w:cs="Arial"/>
          <w:b/>
          <w:bCs/>
          <w:sz w:val="22"/>
          <w:szCs w:val="22"/>
          <w:lang w:val="de-AT"/>
        </w:rPr>
      </w:pPr>
      <w:r>
        <w:rPr>
          <w:rFonts w:ascii="Arial" w:hAnsi="Arial" w:cs="Arial"/>
          <w:b/>
          <w:bCs/>
          <w:color w:val="000000"/>
          <w:sz w:val="22"/>
          <w:szCs w:val="22"/>
          <w:lang w:val="de-AT"/>
        </w:rPr>
        <w:t xml:space="preserve">Graz, 20. März 2014. Weltweit nimmt die Zahl der Tuberkulose-Erkrankungen zwar seit einigen Jahren langsam ab, dennoch stellt diese bakterielle Infektion vor allem in Osteuropa, aber auch in Afrika sowie in Asien unverändert ein großes und ernstzunehmendes Problem dar. „In Osteuropa registrieren wir mit großer Aufmerksamkeit die weitere Zunahme multiresistenter Tuberkulosefälle“, </w:t>
      </w:r>
      <w:r>
        <w:rPr>
          <w:rFonts w:ascii="Arial" w:hAnsi="Arial" w:cs="Arial"/>
          <w:b/>
          <w:bCs/>
          <w:sz w:val="22"/>
          <w:szCs w:val="22"/>
          <w:lang w:val="de-AT"/>
        </w:rPr>
        <w:t>warnte heute in Graz Dr. Holger Flick, Leiter des ÖGP-Arbeitskreises ‚</w:t>
      </w:r>
      <w:proofErr w:type="spellStart"/>
      <w:r>
        <w:rPr>
          <w:rFonts w:ascii="Arial" w:hAnsi="Arial" w:cs="Arial"/>
          <w:b/>
          <w:bCs/>
          <w:sz w:val="22"/>
          <w:szCs w:val="22"/>
          <w:lang w:val="de-AT"/>
        </w:rPr>
        <w:t>Infektiologie</w:t>
      </w:r>
      <w:proofErr w:type="spellEnd"/>
      <w:r>
        <w:rPr>
          <w:rFonts w:ascii="Arial" w:hAnsi="Arial" w:cs="Arial"/>
          <w:b/>
          <w:bCs/>
          <w:sz w:val="22"/>
          <w:szCs w:val="22"/>
          <w:lang w:val="de-AT"/>
        </w:rPr>
        <w:t xml:space="preserve"> und Tuberkulose’</w:t>
      </w:r>
      <w:r w:rsidR="00605114">
        <w:rPr>
          <w:rFonts w:ascii="Arial" w:hAnsi="Arial" w:cs="Arial"/>
          <w:b/>
          <w:bCs/>
          <w:sz w:val="22"/>
          <w:szCs w:val="22"/>
          <w:lang w:val="de-AT"/>
        </w:rPr>
        <w:t>,</w:t>
      </w:r>
      <w:r>
        <w:rPr>
          <w:rFonts w:ascii="Arial" w:hAnsi="Arial" w:cs="Arial"/>
          <w:b/>
          <w:bCs/>
          <w:sz w:val="22"/>
          <w:szCs w:val="22"/>
          <w:lang w:val="de-AT"/>
        </w:rPr>
        <w:t xml:space="preserve"> anlässlich des Welt-Tuberkulosetages am kommenden Montag</w:t>
      </w:r>
      <w:r w:rsidR="000F1A37">
        <w:rPr>
          <w:rFonts w:ascii="Arial" w:hAnsi="Arial" w:cs="Arial"/>
          <w:b/>
          <w:bCs/>
          <w:sz w:val="22"/>
          <w:szCs w:val="22"/>
          <w:lang w:val="de-AT"/>
        </w:rPr>
        <w:t xml:space="preserve"> davor</w:t>
      </w:r>
      <w:r>
        <w:rPr>
          <w:rFonts w:ascii="Arial" w:hAnsi="Arial" w:cs="Arial"/>
          <w:b/>
          <w:bCs/>
          <w:sz w:val="22"/>
          <w:szCs w:val="22"/>
          <w:lang w:val="de-AT"/>
        </w:rPr>
        <w:t xml:space="preserve">, </w:t>
      </w:r>
      <w:r w:rsidR="000F1A37">
        <w:rPr>
          <w:rFonts w:ascii="Arial" w:hAnsi="Arial" w:cs="Arial"/>
          <w:b/>
          <w:bCs/>
          <w:sz w:val="22"/>
          <w:szCs w:val="22"/>
          <w:lang w:val="de-AT"/>
        </w:rPr>
        <w:t>die</w:t>
      </w:r>
      <w:r>
        <w:rPr>
          <w:rFonts w:ascii="Arial" w:hAnsi="Arial" w:cs="Arial"/>
          <w:b/>
          <w:bCs/>
          <w:sz w:val="22"/>
          <w:szCs w:val="22"/>
          <w:lang w:val="de-AT"/>
        </w:rPr>
        <w:t xml:space="preserve"> Gefahr</w:t>
      </w:r>
      <w:r w:rsidR="000F1A37">
        <w:rPr>
          <w:rFonts w:ascii="Arial" w:hAnsi="Arial" w:cs="Arial"/>
          <w:b/>
          <w:bCs/>
          <w:sz w:val="22"/>
          <w:szCs w:val="22"/>
          <w:lang w:val="de-AT"/>
        </w:rPr>
        <w:t xml:space="preserve"> zu unterschätzen</w:t>
      </w:r>
      <w:r>
        <w:rPr>
          <w:rFonts w:ascii="Arial" w:hAnsi="Arial" w:cs="Arial"/>
          <w:b/>
          <w:bCs/>
          <w:sz w:val="22"/>
          <w:szCs w:val="22"/>
          <w:lang w:val="de-AT"/>
        </w:rPr>
        <w:t xml:space="preserve">. „Die Zunahme von Resistenzen erschwert die prinzipiell langwierige Therapie dieser Lungenerkrankung noch zusätzlich und gibt Anlass zu ernsthafter Sorge.“ </w:t>
      </w:r>
    </w:p>
    <w:p w:rsidR="008D0DBD" w:rsidRDefault="008D0DBD" w:rsidP="0009161E">
      <w:pPr>
        <w:spacing w:after="120"/>
        <w:rPr>
          <w:rFonts w:ascii="Arial" w:hAnsi="Arial" w:cs="Arial"/>
          <w:b/>
          <w:bCs/>
          <w:sz w:val="22"/>
          <w:szCs w:val="22"/>
          <w:lang w:val="de-AT"/>
        </w:rPr>
      </w:pPr>
    </w:p>
    <w:p w:rsidR="008D0DBD" w:rsidRDefault="003A0C86" w:rsidP="0009161E">
      <w:pPr>
        <w:pStyle w:val="Default0"/>
        <w:spacing w:after="120"/>
        <w:rPr>
          <w:rFonts w:ascii="Arial" w:hAnsi="Arial" w:cs="Arial"/>
          <w:b/>
          <w:bCs/>
          <w:szCs w:val="22"/>
        </w:rPr>
      </w:pPr>
      <w:r>
        <w:rPr>
          <w:rFonts w:ascii="Arial" w:hAnsi="Arial" w:cs="Arial"/>
          <w:b/>
          <w:bCs/>
          <w:szCs w:val="22"/>
        </w:rPr>
        <w:t>Tuberkulose (TBC) – lebensbedrohliche bakterielle Infektion</w:t>
      </w:r>
    </w:p>
    <w:p w:rsidR="008D0DBD" w:rsidRDefault="003A0C86" w:rsidP="0009161E">
      <w:pPr>
        <w:spacing w:after="120"/>
        <w:rPr>
          <w:rFonts w:ascii="Arial" w:hAnsi="Arial" w:cs="Arial"/>
          <w:bCs/>
          <w:sz w:val="22"/>
          <w:szCs w:val="22"/>
        </w:rPr>
      </w:pPr>
      <w:r>
        <w:rPr>
          <w:rFonts w:ascii="Arial" w:hAnsi="Arial" w:cs="Arial"/>
          <w:bCs/>
          <w:sz w:val="22"/>
          <w:szCs w:val="22"/>
          <w:lang w:val="de-AT"/>
        </w:rPr>
        <w:t xml:space="preserve">Tuberkulose, früher auch Schwindsucht genannt, wird von sogenannten Mykobakterien (meist </w:t>
      </w:r>
      <w:proofErr w:type="spellStart"/>
      <w:r>
        <w:rPr>
          <w:rFonts w:ascii="Arial" w:hAnsi="Arial" w:cs="Arial"/>
          <w:bCs/>
          <w:i/>
          <w:sz w:val="22"/>
          <w:szCs w:val="22"/>
          <w:lang w:val="de-AT"/>
        </w:rPr>
        <w:t>Mycobacterium</w:t>
      </w:r>
      <w:proofErr w:type="spellEnd"/>
      <w:r>
        <w:rPr>
          <w:rFonts w:ascii="Arial" w:hAnsi="Arial" w:cs="Arial"/>
          <w:bCs/>
          <w:i/>
          <w:sz w:val="22"/>
          <w:szCs w:val="22"/>
          <w:lang w:val="de-AT"/>
        </w:rPr>
        <w:t xml:space="preserve"> </w:t>
      </w:r>
      <w:proofErr w:type="spellStart"/>
      <w:r>
        <w:rPr>
          <w:rFonts w:ascii="Arial" w:hAnsi="Arial" w:cs="Arial"/>
          <w:bCs/>
          <w:i/>
          <w:sz w:val="22"/>
          <w:szCs w:val="22"/>
          <w:lang w:val="de-AT"/>
        </w:rPr>
        <w:t>tubercul</w:t>
      </w:r>
      <w:r w:rsidR="00DC07B8">
        <w:rPr>
          <w:rFonts w:ascii="Arial" w:hAnsi="Arial" w:cs="Arial"/>
          <w:bCs/>
          <w:i/>
          <w:sz w:val="22"/>
          <w:szCs w:val="22"/>
          <w:lang w:val="de-AT"/>
        </w:rPr>
        <w:t>o</w:t>
      </w:r>
      <w:r>
        <w:rPr>
          <w:rFonts w:ascii="Arial" w:hAnsi="Arial" w:cs="Arial"/>
          <w:bCs/>
          <w:i/>
          <w:sz w:val="22"/>
          <w:szCs w:val="22"/>
          <w:lang w:val="de-AT"/>
        </w:rPr>
        <w:t>sis</w:t>
      </w:r>
      <w:proofErr w:type="spellEnd"/>
      <w:r>
        <w:rPr>
          <w:rFonts w:ascii="Arial" w:hAnsi="Arial" w:cs="Arial"/>
          <w:bCs/>
          <w:sz w:val="22"/>
          <w:szCs w:val="22"/>
          <w:lang w:val="de-AT"/>
        </w:rPr>
        <w:t xml:space="preserve">) hervorgerufen. Diese </w:t>
      </w:r>
      <w:r>
        <w:rPr>
          <w:rFonts w:ascii="Arial" w:hAnsi="Arial" w:cs="Arial"/>
          <w:bCs/>
          <w:sz w:val="22"/>
          <w:szCs w:val="22"/>
        </w:rPr>
        <w:t xml:space="preserve">wurden erstmals 1882 durch Robert Koch beschrieben, der dafür 1905 den Nobelpreis erhielt. </w:t>
      </w:r>
    </w:p>
    <w:p w:rsidR="008D0DBD" w:rsidRDefault="003A0C86" w:rsidP="0009161E">
      <w:pPr>
        <w:spacing w:after="120"/>
        <w:rPr>
          <w:rFonts w:ascii="Arial" w:hAnsi="Arial" w:cs="Arial"/>
          <w:sz w:val="22"/>
          <w:szCs w:val="22"/>
        </w:rPr>
      </w:pPr>
      <w:r>
        <w:rPr>
          <w:rFonts w:ascii="Arial" w:hAnsi="Arial" w:cs="Arial"/>
          <w:bCs/>
          <w:sz w:val="22"/>
          <w:szCs w:val="22"/>
          <w:lang w:val="de-AT"/>
        </w:rPr>
        <w:t xml:space="preserve">Die Infektion manifestiert sich zumeist in der Lunge; man spricht von Lungentuberkulose. Prinzipiell kann sich die TBC aber in allen Geweben und Organen manifestieren (Organtuberkulose). Verschiedene Faktoren wie der allgemeine Gesundheits- und Ernährungszustand, der Immunstatus, aber auch genetische Faktoren sind dafür verantwortlich, ob die Erkrankung ausbricht oder die körpereigene Immunabwehr einen Ausbruch unterdrücken kann. </w:t>
      </w:r>
      <w:r>
        <w:rPr>
          <w:rFonts w:ascii="Arial" w:hAnsi="Arial" w:cs="Arial"/>
          <w:sz w:val="22"/>
          <w:szCs w:val="22"/>
        </w:rPr>
        <w:t xml:space="preserve">Betroffene klagen typischerweise über eine anhaltende Hustensymptomatik. Diese kann mit Gewichtsverlust, Fieber, </w:t>
      </w:r>
      <w:proofErr w:type="spellStart"/>
      <w:r>
        <w:rPr>
          <w:rFonts w:ascii="Arial" w:hAnsi="Arial" w:cs="Arial"/>
          <w:sz w:val="22"/>
          <w:szCs w:val="22"/>
        </w:rPr>
        <w:t>Thoraxschmerzen</w:t>
      </w:r>
      <w:proofErr w:type="spellEnd"/>
      <w:r>
        <w:rPr>
          <w:rFonts w:ascii="Arial" w:hAnsi="Arial" w:cs="Arial"/>
          <w:sz w:val="22"/>
          <w:szCs w:val="22"/>
        </w:rPr>
        <w:t xml:space="preserve"> und gelegentlich Bluthusten einhergehen. Die Ansteckung erfolgt zumeist über engen Kontakt mit Erkrankten, da die Bakterien mittels Tröpfcheninfektion (Aushusten, Niesen usw.) übertragen werden.</w:t>
      </w:r>
    </w:p>
    <w:p w:rsidR="008D0DBD" w:rsidRDefault="003A0C86" w:rsidP="0009161E">
      <w:pPr>
        <w:pStyle w:val="Default0"/>
        <w:spacing w:after="120"/>
        <w:rPr>
          <w:rFonts w:ascii="Arial" w:hAnsi="Arial" w:cs="Arial"/>
          <w:bCs/>
          <w:sz w:val="22"/>
          <w:szCs w:val="22"/>
        </w:rPr>
      </w:pPr>
      <w:r>
        <w:rPr>
          <w:rFonts w:ascii="Arial" w:hAnsi="Arial" w:cs="Arial"/>
          <w:bCs/>
          <w:sz w:val="22"/>
          <w:szCs w:val="22"/>
        </w:rPr>
        <w:t xml:space="preserve">Während TBC noch im frühen 20. Jahrhundert als DIE endemische Erkrankung der städtischen Armen galt, wird sie in Mitteleuropa inzwischen als seltene Erkrankung eingestuft. Dennoch: Laut dem aktuellen WHO-Bericht erkrankten 2012 weltweit 8,6 Millionen Menschen an einer TBC und 1,3 Millionen verstarben an dieser prinzipiell heilbaren Erkrankung. Somit stellt </w:t>
      </w:r>
      <w:proofErr w:type="gramStart"/>
      <w:r>
        <w:rPr>
          <w:rFonts w:ascii="Arial" w:hAnsi="Arial" w:cs="Arial"/>
          <w:bCs/>
          <w:sz w:val="22"/>
          <w:szCs w:val="22"/>
        </w:rPr>
        <w:t>diese</w:t>
      </w:r>
      <w:proofErr w:type="gramEnd"/>
      <w:r>
        <w:rPr>
          <w:rFonts w:ascii="Arial" w:hAnsi="Arial" w:cs="Arial"/>
          <w:bCs/>
          <w:sz w:val="22"/>
          <w:szCs w:val="22"/>
        </w:rPr>
        <w:t xml:space="preserve"> Infektionskrankheit international nach wie vor die häufigste zum Tode führende bakterielle Erkrankung und somit ein großes Problem dar.</w:t>
      </w:r>
    </w:p>
    <w:p w:rsidR="008D0DBD" w:rsidRDefault="008D0DBD" w:rsidP="0009161E">
      <w:pPr>
        <w:pStyle w:val="Default0"/>
        <w:spacing w:after="120"/>
        <w:rPr>
          <w:rFonts w:ascii="Arial" w:hAnsi="Arial" w:cs="Arial"/>
          <w:b/>
          <w:bCs/>
          <w:szCs w:val="22"/>
        </w:rPr>
      </w:pPr>
    </w:p>
    <w:p w:rsidR="008D0DBD" w:rsidRDefault="003A0C86" w:rsidP="0009161E">
      <w:pPr>
        <w:pStyle w:val="Default0"/>
        <w:spacing w:after="120"/>
        <w:rPr>
          <w:rFonts w:ascii="Arial" w:hAnsi="Arial" w:cs="Arial"/>
          <w:b/>
          <w:bCs/>
          <w:szCs w:val="22"/>
        </w:rPr>
      </w:pPr>
      <w:r>
        <w:rPr>
          <w:rFonts w:ascii="Arial" w:hAnsi="Arial" w:cs="Arial"/>
          <w:b/>
          <w:bCs/>
          <w:szCs w:val="22"/>
        </w:rPr>
        <w:t>TBC in Österreich</w:t>
      </w:r>
    </w:p>
    <w:p w:rsidR="008D0DBD" w:rsidRDefault="003A0C86" w:rsidP="0009161E">
      <w:pPr>
        <w:spacing w:after="120"/>
        <w:rPr>
          <w:rFonts w:ascii="Arial" w:hAnsi="Arial" w:cs="Arial"/>
          <w:sz w:val="22"/>
          <w:szCs w:val="20"/>
        </w:rPr>
      </w:pPr>
      <w:r>
        <w:rPr>
          <w:rFonts w:ascii="Arial" w:hAnsi="Arial" w:cs="Arial"/>
          <w:sz w:val="22"/>
          <w:szCs w:val="20"/>
        </w:rPr>
        <w:t>Österreich zählt mit einer Tuberkuloseinzidenz (Inzidenz = Häufigkeit) von unter 10 Neuerkrankungen pro 100.000 Einwohnern zu den sogenannten Niedriginzidenzländern</w:t>
      </w:r>
      <w:r>
        <w:rPr>
          <w:rStyle w:val="Funotenanker"/>
          <w:rFonts w:ascii="Arial" w:hAnsi="Arial" w:cs="Arial"/>
          <w:sz w:val="22"/>
          <w:szCs w:val="20"/>
        </w:rPr>
        <w:footnoteReference w:id="1"/>
      </w:r>
      <w:r>
        <w:rPr>
          <w:rFonts w:ascii="Arial" w:hAnsi="Arial" w:cs="Arial"/>
          <w:sz w:val="22"/>
          <w:szCs w:val="20"/>
        </w:rPr>
        <w:t xml:space="preserve">. Im Jahr 2012 wurden in Österreich 648 Tuberkulosefälle registriert. Somit hält in Österreich der rückläufige Trend der allgemeinen TBC-Inzidenz an (2011: </w:t>
      </w:r>
      <w:r>
        <w:rPr>
          <w:rFonts w:ascii="Arial" w:hAnsi="Arial" w:cs="Arial"/>
          <w:sz w:val="22"/>
          <w:szCs w:val="20"/>
          <w:lang w:eastAsia="de-AT"/>
        </w:rPr>
        <w:t>8,19</w:t>
      </w:r>
      <w:r>
        <w:rPr>
          <w:rFonts w:ascii="Arial" w:hAnsi="Arial" w:cs="Arial"/>
          <w:sz w:val="22"/>
          <w:szCs w:val="20"/>
        </w:rPr>
        <w:t xml:space="preserve">/100.000 Einwohner vs. </w:t>
      </w:r>
      <w:r>
        <w:rPr>
          <w:rFonts w:ascii="Arial" w:hAnsi="Arial" w:cs="Arial"/>
          <w:sz w:val="22"/>
          <w:szCs w:val="20"/>
        </w:rPr>
        <w:lastRenderedPageBreak/>
        <w:t>2012: 7,66/100.000 Einwohner). In den allermeisten Fällen (79%) handelt es sich dabei um eine Lungentuberkulose.</w:t>
      </w:r>
    </w:p>
    <w:p w:rsidR="008D0DBD" w:rsidRDefault="008D0DBD" w:rsidP="0009161E">
      <w:pPr>
        <w:spacing w:after="120"/>
        <w:rPr>
          <w:rFonts w:ascii="Arial" w:hAnsi="Arial" w:cs="Arial"/>
          <w:sz w:val="22"/>
          <w:szCs w:val="20"/>
        </w:rPr>
      </w:pPr>
    </w:p>
    <w:p w:rsidR="008D0DBD" w:rsidRDefault="003A0C86" w:rsidP="0009161E">
      <w:pPr>
        <w:spacing w:after="120"/>
        <w:rPr>
          <w:rFonts w:ascii="Arial" w:hAnsi="Arial" w:cs="Arial"/>
          <w:sz w:val="22"/>
          <w:szCs w:val="20"/>
        </w:rPr>
      </w:pPr>
      <w:r>
        <w:rPr>
          <w:rFonts w:ascii="Arial" w:hAnsi="Arial" w:cs="Arial"/>
          <w:sz w:val="22"/>
          <w:szCs w:val="20"/>
        </w:rPr>
        <w:t>Abb. 1; Quelle: AGES</w:t>
      </w:r>
    </w:p>
    <w:p w:rsidR="008D0DBD" w:rsidRDefault="009939D9" w:rsidP="0009161E">
      <w:pPr>
        <w:spacing w:after="120"/>
        <w:rPr>
          <w:rFonts w:ascii="Arial" w:hAnsi="Arial" w:cs="Arial"/>
          <w:noProof/>
          <w:sz w:val="22"/>
          <w:szCs w:val="20"/>
        </w:rPr>
      </w:pPr>
      <w:r>
        <w:rPr>
          <w:rFonts w:ascii="Arial" w:hAnsi="Arial" w:cs="Arial"/>
          <w:noProof/>
          <w:sz w:val="22"/>
          <w:szCs w:val="20"/>
          <w:lang w:val="de-AT" w:eastAsia="de-AT"/>
        </w:rPr>
        <w:drawing>
          <wp:anchor distT="0" distB="0" distL="0" distR="0" simplePos="0" relativeHeight="251661312" behindDoc="0" locked="0" layoutInCell="1" allowOverlap="1">
            <wp:simplePos x="0" y="0"/>
            <wp:positionH relativeFrom="column">
              <wp:posOffset>-299720</wp:posOffset>
            </wp:positionH>
            <wp:positionV relativeFrom="paragraph">
              <wp:posOffset>36195</wp:posOffset>
            </wp:positionV>
            <wp:extent cx="5362575" cy="3429000"/>
            <wp:effectExtent l="19050" t="0" r="9525"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5362575" cy="3429000"/>
                    </a:xfrm>
                    <a:prstGeom prst="rect">
                      <a:avLst/>
                    </a:prstGeom>
                    <a:noFill/>
                    <a:ln w="9525">
                      <a:noFill/>
                      <a:miter lim="800000"/>
                      <a:headEnd/>
                      <a:tailEnd/>
                    </a:ln>
                  </pic:spPr>
                </pic:pic>
              </a:graphicData>
            </a:graphic>
          </wp:anchor>
        </w:drawing>
      </w: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8D0DBD" w:rsidRDefault="008D0DBD" w:rsidP="0009161E">
      <w:pPr>
        <w:spacing w:after="120"/>
        <w:rPr>
          <w:rFonts w:ascii="Arial" w:hAnsi="Arial" w:cs="Arial"/>
          <w:noProof/>
          <w:sz w:val="22"/>
          <w:szCs w:val="20"/>
        </w:rPr>
      </w:pPr>
    </w:p>
    <w:p w:rsidR="00184D5F" w:rsidRDefault="00184D5F" w:rsidP="0009161E">
      <w:pPr>
        <w:spacing w:after="120"/>
        <w:rPr>
          <w:rFonts w:ascii="Arial" w:hAnsi="Arial" w:cs="Arial"/>
          <w:noProof/>
          <w:sz w:val="22"/>
          <w:szCs w:val="20"/>
        </w:rPr>
      </w:pPr>
      <w:r>
        <w:rPr>
          <w:rFonts w:ascii="Arial" w:hAnsi="Arial" w:cs="Arial"/>
          <w:noProof/>
          <w:sz w:val="22"/>
          <w:szCs w:val="20"/>
        </w:rPr>
        <w:t>„Bei Personen mit österreichischer Staatsangehörigkeit erkranken vor allem ältere Menschen über 45 Jahre und bei MigrantInnen sind meist Kinder und junge Erwachsene unter 45 Jahre betroffen“, so Flick.</w:t>
      </w:r>
    </w:p>
    <w:p w:rsidR="008D0DBD" w:rsidRPr="00184D5F" w:rsidRDefault="008D0DBD" w:rsidP="0009161E">
      <w:pPr>
        <w:spacing w:after="120"/>
        <w:rPr>
          <w:rFonts w:ascii="Arial" w:hAnsi="Arial" w:cs="Arial"/>
          <w:sz w:val="22"/>
          <w:szCs w:val="20"/>
        </w:rPr>
      </w:pPr>
    </w:p>
    <w:p w:rsidR="008D0DBD" w:rsidRPr="00184D5F" w:rsidRDefault="003A0C86" w:rsidP="0009161E">
      <w:pPr>
        <w:spacing w:after="120"/>
        <w:rPr>
          <w:rFonts w:ascii="Arial" w:hAnsi="Arial" w:cs="Arial"/>
          <w:b/>
          <w:bCs/>
          <w:szCs w:val="22"/>
        </w:rPr>
      </w:pPr>
      <w:r w:rsidRPr="00184D5F">
        <w:rPr>
          <w:rFonts w:ascii="Arial" w:hAnsi="Arial" w:cs="Arial"/>
          <w:b/>
          <w:bCs/>
          <w:szCs w:val="22"/>
        </w:rPr>
        <w:t>Zahl der multiresistenten TBC-Fälle nimmt auch in Österreich zu</w:t>
      </w:r>
    </w:p>
    <w:p w:rsidR="008D0DBD" w:rsidRPr="00184D5F" w:rsidRDefault="00184D5F">
      <w:pPr>
        <w:pStyle w:val="Default0"/>
        <w:spacing w:after="120"/>
        <w:rPr>
          <w:rFonts w:ascii="Arial" w:hAnsi="Arial" w:cs="Arial"/>
          <w:sz w:val="22"/>
          <w:szCs w:val="22"/>
        </w:rPr>
      </w:pPr>
      <w:r>
        <w:rPr>
          <w:rFonts w:ascii="Arial" w:hAnsi="Arial" w:cs="Arial"/>
          <w:bCs/>
          <w:sz w:val="22"/>
          <w:szCs w:val="22"/>
        </w:rPr>
        <w:t>D</w:t>
      </w:r>
      <w:r w:rsidR="003A0C86" w:rsidRPr="00184D5F">
        <w:rPr>
          <w:rFonts w:ascii="Arial" w:hAnsi="Arial" w:cs="Arial"/>
          <w:sz w:val="22"/>
          <w:szCs w:val="22"/>
        </w:rPr>
        <w:t>ie Zahl multiresistenter (MDR) und extrem arzneimittelresistenter (XDR) Tuberkulose</w:t>
      </w:r>
      <w:r w:rsidR="000F1A37" w:rsidRPr="00184D5F">
        <w:rPr>
          <w:rFonts w:ascii="Arial" w:hAnsi="Arial" w:cs="Arial"/>
          <w:sz w:val="22"/>
          <w:szCs w:val="22"/>
        </w:rPr>
        <w:t>-F</w:t>
      </w:r>
      <w:r w:rsidR="003A0C86" w:rsidRPr="00184D5F">
        <w:rPr>
          <w:rFonts w:ascii="Arial" w:hAnsi="Arial" w:cs="Arial"/>
          <w:sz w:val="22"/>
          <w:szCs w:val="22"/>
        </w:rPr>
        <w:t xml:space="preserve">älle </w:t>
      </w:r>
      <w:r w:rsidR="003A0C86" w:rsidRPr="00184D5F">
        <w:rPr>
          <w:rFonts w:ascii="Arial" w:hAnsi="Arial" w:cs="Arial"/>
          <w:bCs/>
          <w:sz w:val="22"/>
          <w:szCs w:val="22"/>
        </w:rPr>
        <w:t xml:space="preserve">ist </w:t>
      </w:r>
      <w:r w:rsidR="003A0C86" w:rsidRPr="00184D5F">
        <w:rPr>
          <w:rFonts w:ascii="Arial" w:hAnsi="Arial" w:cs="Arial"/>
          <w:sz w:val="22"/>
          <w:szCs w:val="22"/>
        </w:rPr>
        <w:t>weiter angestiegen. Waren es 2011 noch 19 MDR-Fälle, davon 6 XDR, so sind es 2012 bereits 27 MDR-Fälle, davon 10 XDR. Somit nimmt erwartungsgemäß der steigende Trend der MDR/XDR-Erkrankungen zu, was auf die allgemeine Zunahme der MDR-TBC in Osteuropa zurückzuführen ist. Die meisten MDR-PatientInnen hierzulande stammen aus der Russischen Föderation oder Rumänien.</w:t>
      </w:r>
    </w:p>
    <w:p w:rsidR="002A57F5" w:rsidRDefault="002A57F5">
      <w:pPr>
        <w:suppressAutoHyphens w:val="0"/>
        <w:spacing w:after="200" w:line="276" w:lineRule="auto"/>
        <w:rPr>
          <w:rFonts w:ascii="Arial" w:eastAsia="MS Mincho" w:hAnsi="Arial" w:cs="Arial"/>
          <w:color w:val="000000"/>
          <w:sz w:val="22"/>
          <w:szCs w:val="22"/>
          <w:lang w:val="de-AT" w:eastAsia="de-AT"/>
        </w:rPr>
      </w:pPr>
      <w:r>
        <w:rPr>
          <w:rFonts w:ascii="Arial" w:hAnsi="Arial" w:cs="Arial"/>
          <w:sz w:val="22"/>
          <w:szCs w:val="22"/>
        </w:rPr>
        <w:br w:type="page"/>
      </w:r>
    </w:p>
    <w:p w:rsidR="008D0DBD" w:rsidRDefault="002A57F5" w:rsidP="0009161E">
      <w:pPr>
        <w:pStyle w:val="Default0"/>
        <w:pageBreakBefore/>
        <w:spacing w:after="120"/>
        <w:rPr>
          <w:rFonts w:ascii="Arial" w:hAnsi="Arial" w:cs="Arial"/>
          <w:sz w:val="22"/>
          <w:szCs w:val="20"/>
        </w:rPr>
      </w:pPr>
      <w:r>
        <w:rPr>
          <w:rFonts w:ascii="Arial" w:hAnsi="Arial" w:cs="Arial"/>
          <w:sz w:val="22"/>
          <w:szCs w:val="20"/>
        </w:rPr>
        <w:t>Abb. 2; Quelle: AGES</w:t>
      </w:r>
    </w:p>
    <w:p w:rsidR="008D0DBD" w:rsidRDefault="009939D9" w:rsidP="002A57F5">
      <w:pPr>
        <w:pStyle w:val="Default0"/>
        <w:spacing w:after="120"/>
        <w:rPr>
          <w:rFonts w:ascii="Arial" w:hAnsi="Arial" w:cs="Arial"/>
          <w:b/>
          <w:bCs/>
          <w:szCs w:val="22"/>
        </w:rPr>
      </w:pPr>
      <w:r>
        <w:rPr>
          <w:rFonts w:ascii="Arial" w:hAnsi="Arial" w:cs="Arial"/>
          <w:noProof/>
          <w:sz w:val="22"/>
          <w:szCs w:val="20"/>
        </w:rPr>
        <w:drawing>
          <wp:anchor distT="0" distB="0" distL="0" distR="0" simplePos="0" relativeHeight="251659264" behindDoc="0" locked="0" layoutInCell="1" allowOverlap="1">
            <wp:simplePos x="0" y="0"/>
            <wp:positionH relativeFrom="column">
              <wp:posOffset>-128270</wp:posOffset>
            </wp:positionH>
            <wp:positionV relativeFrom="paragraph">
              <wp:posOffset>158750</wp:posOffset>
            </wp:positionV>
            <wp:extent cx="5762625" cy="3676650"/>
            <wp:effectExtent l="19050" t="0" r="9525"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rcRect/>
                    <a:stretch>
                      <a:fillRect/>
                    </a:stretch>
                  </pic:blipFill>
                  <pic:spPr bwMode="auto">
                    <a:xfrm>
                      <a:off x="0" y="0"/>
                      <a:ext cx="5762625" cy="3676650"/>
                    </a:xfrm>
                    <a:prstGeom prst="rect">
                      <a:avLst/>
                    </a:prstGeom>
                    <a:noFill/>
                    <a:ln w="9525">
                      <a:noFill/>
                      <a:miter lim="800000"/>
                      <a:headEnd/>
                      <a:tailEnd/>
                    </a:ln>
                  </pic:spPr>
                </pic:pic>
              </a:graphicData>
            </a:graphic>
          </wp:anchor>
        </w:drawing>
      </w:r>
    </w:p>
    <w:p w:rsidR="008D0DBD" w:rsidRDefault="003A0C86" w:rsidP="0009161E">
      <w:pPr>
        <w:spacing w:after="120"/>
        <w:rPr>
          <w:rFonts w:ascii="Arial" w:hAnsi="Arial" w:cs="Arial"/>
          <w:b/>
          <w:bCs/>
          <w:szCs w:val="22"/>
          <w:lang w:val="de-AT"/>
        </w:rPr>
      </w:pPr>
      <w:r>
        <w:rPr>
          <w:rFonts w:ascii="Arial" w:hAnsi="Arial" w:cs="Arial"/>
          <w:b/>
          <w:bCs/>
          <w:szCs w:val="22"/>
          <w:lang w:val="de-AT"/>
        </w:rPr>
        <w:t xml:space="preserve">Tuberkulose weiterhin unbedingt ernst nehmen </w:t>
      </w:r>
    </w:p>
    <w:p w:rsidR="008D0DBD" w:rsidRDefault="003A0C86" w:rsidP="0009161E">
      <w:pPr>
        <w:pStyle w:val="Default0"/>
        <w:spacing w:after="120"/>
        <w:rPr>
          <w:rFonts w:ascii="Arial" w:hAnsi="Arial" w:cs="Arial"/>
          <w:sz w:val="22"/>
          <w:szCs w:val="20"/>
        </w:rPr>
      </w:pPr>
      <w:r>
        <w:rPr>
          <w:rFonts w:ascii="Arial" w:hAnsi="Arial" w:cs="Arial"/>
          <w:sz w:val="22"/>
          <w:szCs w:val="20"/>
        </w:rPr>
        <w:t>Besonder</w:t>
      </w:r>
      <w:r w:rsidR="000F1A37">
        <w:rPr>
          <w:rFonts w:ascii="Arial" w:hAnsi="Arial" w:cs="Arial"/>
          <w:sz w:val="22"/>
          <w:szCs w:val="20"/>
        </w:rPr>
        <w:t>s</w:t>
      </w:r>
      <w:r>
        <w:rPr>
          <w:rFonts w:ascii="Arial" w:hAnsi="Arial" w:cs="Arial"/>
          <w:sz w:val="22"/>
          <w:szCs w:val="20"/>
        </w:rPr>
        <w:t xml:space="preserve"> brisant sind immer wieder auch in Österreich TBC-Ausbrüche. So kam es 2013 erneut zu Ausbrüchen an Wiener Schulen. Dementsprechend waren vor allem Kinder und Jugendliche betroffen. „Derartige Situationen können nur durch ein intaktes System der Tuberkulose-Erkennung und -Therapie und eine sehr enge Zusammenarbeit zwischen Gesundheitsbehörden und involvierten medizinischen Einrichtungen gemeistert werden. In diesem Sinne ist es sehr erfreulich, dass seit 2013 eine überarbeitete </w:t>
      </w:r>
      <w:r w:rsidR="005A569A">
        <w:rPr>
          <w:rFonts w:ascii="Arial" w:hAnsi="Arial" w:cs="Arial"/>
          <w:sz w:val="22"/>
          <w:szCs w:val="20"/>
        </w:rPr>
        <w:t>‚</w:t>
      </w:r>
      <w:r>
        <w:rPr>
          <w:rFonts w:ascii="Arial" w:hAnsi="Arial" w:cs="Arial"/>
          <w:sz w:val="22"/>
          <w:szCs w:val="20"/>
        </w:rPr>
        <w:t xml:space="preserve">Österreichische Leitlinie zur Tuberkulose-Umgebungsuntersuchung‘ in Kraft getreten ist“, betont Flick. </w:t>
      </w:r>
    </w:p>
    <w:p w:rsidR="008D0DBD" w:rsidRDefault="003A0C86" w:rsidP="0009161E">
      <w:pPr>
        <w:spacing w:after="120"/>
        <w:rPr>
          <w:rFonts w:ascii="Arial" w:hAnsi="Arial" w:cs="Arial"/>
          <w:sz w:val="22"/>
          <w:szCs w:val="22"/>
        </w:rPr>
      </w:pPr>
      <w:r>
        <w:rPr>
          <w:rFonts w:ascii="Arial" w:hAnsi="Arial" w:cs="Arial"/>
          <w:sz w:val="22"/>
          <w:szCs w:val="22"/>
        </w:rPr>
        <w:t>Flick stimmt dem Fazit der AGES zu, dass trotz des rückläufigen Trends der Tuberkulose in Österreich diese, insbesondere durch das vermehrte Auftreten von multiresistenter Tuberkulose, nach wie vor eine erstzunehmende Herausforderung für die öffentliche Gesundheit darstelle.</w:t>
      </w:r>
    </w:p>
    <w:p w:rsidR="008D0DBD" w:rsidRDefault="008D0DBD" w:rsidP="0009161E">
      <w:pPr>
        <w:spacing w:after="120"/>
        <w:rPr>
          <w:rFonts w:ascii="Arial" w:hAnsi="Arial" w:cs="Arial"/>
          <w:bCs/>
          <w:sz w:val="22"/>
          <w:szCs w:val="22"/>
        </w:rPr>
      </w:pPr>
    </w:p>
    <w:p w:rsidR="008D0DBD" w:rsidRDefault="003A0C86" w:rsidP="0009161E">
      <w:pPr>
        <w:spacing w:after="120"/>
        <w:rPr>
          <w:rFonts w:ascii="Arial" w:hAnsi="Arial" w:cs="Arial"/>
          <w:b/>
          <w:bCs/>
          <w:szCs w:val="22"/>
        </w:rPr>
      </w:pPr>
      <w:r>
        <w:rPr>
          <w:rFonts w:ascii="Arial" w:hAnsi="Arial" w:cs="Arial"/>
          <w:b/>
          <w:bCs/>
          <w:szCs w:val="22"/>
        </w:rPr>
        <w:t>Was kann in Österreich verbessert werden?</w:t>
      </w:r>
    </w:p>
    <w:p w:rsidR="008D0DBD" w:rsidRDefault="003A0C86" w:rsidP="0009161E">
      <w:pPr>
        <w:spacing w:after="120"/>
        <w:rPr>
          <w:rFonts w:ascii="Arial" w:hAnsi="Arial" w:cs="Arial"/>
          <w:sz w:val="22"/>
          <w:szCs w:val="22"/>
        </w:rPr>
      </w:pPr>
      <w:r>
        <w:rPr>
          <w:rFonts w:ascii="Arial" w:hAnsi="Arial" w:cs="Arial"/>
          <w:sz w:val="22"/>
          <w:szCs w:val="22"/>
        </w:rPr>
        <w:t xml:space="preserve">Im klinischen Alltag wird die TBC </w:t>
      </w:r>
      <w:r w:rsidR="00605114">
        <w:rPr>
          <w:rFonts w:ascii="Arial" w:hAnsi="Arial" w:cs="Arial"/>
          <w:sz w:val="22"/>
          <w:szCs w:val="22"/>
        </w:rPr>
        <w:t xml:space="preserve">zu oft </w:t>
      </w:r>
      <w:r>
        <w:rPr>
          <w:rFonts w:ascii="Arial" w:hAnsi="Arial" w:cs="Arial"/>
          <w:sz w:val="22"/>
          <w:szCs w:val="22"/>
        </w:rPr>
        <w:t xml:space="preserve">nur anhand histologischer Befunde diagnostiziert, weil die Möglichkeit einer tuberkulösen Erkrankung </w:t>
      </w:r>
      <w:r w:rsidR="00605114">
        <w:rPr>
          <w:rFonts w:ascii="Arial" w:hAnsi="Arial" w:cs="Arial"/>
          <w:sz w:val="22"/>
          <w:szCs w:val="22"/>
        </w:rPr>
        <w:t xml:space="preserve">häufig </w:t>
      </w:r>
      <w:bookmarkStart w:id="0" w:name="_GoBack"/>
      <w:bookmarkEnd w:id="0"/>
      <w:r>
        <w:rPr>
          <w:rFonts w:ascii="Arial" w:hAnsi="Arial" w:cs="Arial"/>
          <w:sz w:val="22"/>
          <w:szCs w:val="22"/>
        </w:rPr>
        <w:t xml:space="preserve">nicht rechtzeitig in Betracht gezogen und Kulturen primär nicht angelegt werden. </w:t>
      </w:r>
      <w:r>
        <w:rPr>
          <w:rFonts w:ascii="Arial" w:hAnsi="Arial" w:cs="Arial"/>
          <w:bCs/>
          <w:sz w:val="22"/>
          <w:szCs w:val="22"/>
        </w:rPr>
        <w:t xml:space="preserve">Aktuell werden daher lediglich </w:t>
      </w:r>
      <w:r>
        <w:rPr>
          <w:rFonts w:ascii="Arial" w:hAnsi="Arial" w:cs="Arial"/>
          <w:sz w:val="22"/>
          <w:szCs w:val="22"/>
        </w:rPr>
        <w:t xml:space="preserve">63% aller Fälle durch einen kulturellen </w:t>
      </w:r>
      <w:proofErr w:type="spellStart"/>
      <w:r>
        <w:rPr>
          <w:rFonts w:ascii="Arial" w:hAnsi="Arial" w:cs="Arial"/>
          <w:sz w:val="22"/>
          <w:szCs w:val="22"/>
        </w:rPr>
        <w:t>Mycobacterium</w:t>
      </w:r>
      <w:proofErr w:type="spellEnd"/>
      <w:r>
        <w:rPr>
          <w:rFonts w:ascii="Arial" w:hAnsi="Arial" w:cs="Arial"/>
          <w:sz w:val="22"/>
          <w:szCs w:val="22"/>
        </w:rPr>
        <w:t xml:space="preserve">-Nachweis bestätigt, die WHO fordert 80%. Angesichts der steigenden MDR/XDR-Rate sollte bei unklaren pulmonalen oder extrapulmonalen Erkrankungen weiterhin auch an die Möglichkeit einer TBC gedacht und entsprechende Kulturen zur frühzeitigen Erkennung einer multiresistenten TBC angelegt werden. </w:t>
      </w:r>
    </w:p>
    <w:p w:rsidR="008D0DBD" w:rsidRDefault="003A0C86" w:rsidP="0009161E">
      <w:pPr>
        <w:spacing w:after="120"/>
        <w:rPr>
          <w:rFonts w:ascii="Arial" w:hAnsi="Arial" w:cs="Arial"/>
          <w:sz w:val="22"/>
          <w:szCs w:val="22"/>
        </w:rPr>
      </w:pPr>
      <w:r>
        <w:rPr>
          <w:rFonts w:ascii="Arial" w:hAnsi="Arial" w:cs="Arial"/>
          <w:bCs/>
          <w:sz w:val="22"/>
          <w:szCs w:val="22"/>
        </w:rPr>
        <w:t xml:space="preserve">Die Rate erfolgreicher Behandlungen </w:t>
      </w:r>
      <w:r>
        <w:rPr>
          <w:rFonts w:ascii="Arial" w:hAnsi="Arial" w:cs="Arial"/>
          <w:sz w:val="22"/>
          <w:szCs w:val="22"/>
        </w:rPr>
        <w:t xml:space="preserve">liegt mit 81% der pulmonalen TB-Fälle und 62,5% der MDR/XDR Tuberkulosefälle unter den WHO-Forderungen von 85% bzw. 70%. Flick: „In diesem Sinne besteht in Österreich Verbesserungsbedarf bei der TBC-Diagnostik und </w:t>
      </w:r>
      <w:r w:rsidR="000F1A37">
        <w:rPr>
          <w:rFonts w:ascii="Arial" w:hAnsi="Arial" w:cs="Arial"/>
          <w:sz w:val="22"/>
          <w:szCs w:val="22"/>
        </w:rPr>
        <w:br/>
      </w:r>
      <w:r>
        <w:rPr>
          <w:rFonts w:ascii="Arial" w:hAnsi="Arial" w:cs="Arial"/>
          <w:sz w:val="22"/>
          <w:szCs w:val="22"/>
        </w:rPr>
        <w:t>-Therapie und die entsprechenden Strukturen müssen weiter optimiert werden.“</w:t>
      </w:r>
    </w:p>
    <w:p w:rsidR="008D0DBD" w:rsidRDefault="003A0C86" w:rsidP="0009161E">
      <w:pPr>
        <w:spacing w:after="120"/>
        <w:rPr>
          <w:rFonts w:ascii="Arial" w:hAnsi="Arial" w:cs="Arial"/>
          <w:sz w:val="22"/>
          <w:szCs w:val="22"/>
        </w:rPr>
      </w:pPr>
      <w:r>
        <w:rPr>
          <w:rFonts w:ascii="Arial" w:hAnsi="Arial" w:cs="Arial"/>
          <w:sz w:val="22"/>
          <w:szCs w:val="22"/>
        </w:rPr>
        <w:t xml:space="preserve">Erfreulicherweise stehen seit 2013 für Patienten mit MDR/XDR-TBC mit </w:t>
      </w:r>
      <w:proofErr w:type="spellStart"/>
      <w:r>
        <w:rPr>
          <w:rFonts w:ascii="Arial" w:hAnsi="Arial" w:cs="Arial"/>
          <w:sz w:val="22"/>
          <w:szCs w:val="22"/>
        </w:rPr>
        <w:t>Bedaquiline</w:t>
      </w:r>
      <w:proofErr w:type="spellEnd"/>
      <w:r>
        <w:rPr>
          <w:rFonts w:ascii="Arial" w:hAnsi="Arial" w:cs="Arial"/>
          <w:sz w:val="22"/>
          <w:szCs w:val="22"/>
        </w:rPr>
        <w:t xml:space="preserve"> und </w:t>
      </w:r>
      <w:proofErr w:type="spellStart"/>
      <w:r>
        <w:rPr>
          <w:rFonts w:ascii="Arial" w:hAnsi="Arial" w:cs="Arial"/>
          <w:sz w:val="22"/>
          <w:szCs w:val="22"/>
        </w:rPr>
        <w:t>Delamanid</w:t>
      </w:r>
      <w:proofErr w:type="spellEnd"/>
      <w:r>
        <w:rPr>
          <w:rFonts w:ascii="Arial" w:hAnsi="Arial" w:cs="Arial"/>
          <w:sz w:val="22"/>
          <w:szCs w:val="22"/>
        </w:rPr>
        <w:t xml:space="preserve"> zwei neue Medikamente zur Verfügung, was die Überlebenschancen dieser lebensbedrohlich erkrankten Patienten hoffentlich verbessern wird.</w:t>
      </w:r>
    </w:p>
    <w:p w:rsidR="008D0DBD" w:rsidRDefault="003A0C86" w:rsidP="0009161E">
      <w:pPr>
        <w:spacing w:after="120"/>
        <w:rPr>
          <w:rFonts w:ascii="Arial" w:hAnsi="Arial" w:cs="Arial"/>
          <w:bCs/>
          <w:sz w:val="22"/>
          <w:szCs w:val="22"/>
        </w:rPr>
      </w:pPr>
      <w:r>
        <w:rPr>
          <w:rFonts w:ascii="Arial" w:hAnsi="Arial" w:cs="Arial"/>
          <w:bCs/>
          <w:sz w:val="22"/>
          <w:szCs w:val="22"/>
        </w:rPr>
        <w:t>Mit Hinblick auf die Zunahme der MDR stelle sich aber trotzdem die Frage, so Flick, „inwieweit die strukturellen und personellen Kapazitäten im Bereich der spezialisierten TBC-Einrichtungen mittelfristig an Grenzen stoßen und gegebenenfalls ausgebaut werden müssen.“</w:t>
      </w:r>
    </w:p>
    <w:p w:rsidR="008D0DBD" w:rsidRDefault="008D0DBD" w:rsidP="0009161E">
      <w:pPr>
        <w:spacing w:after="120"/>
        <w:rPr>
          <w:rFonts w:ascii="Arial" w:hAnsi="Arial" w:cs="Arial"/>
          <w:bCs/>
          <w:sz w:val="22"/>
          <w:szCs w:val="22"/>
          <w:lang w:val="de-AT"/>
        </w:rPr>
      </w:pPr>
    </w:p>
    <w:p w:rsidR="008D0DBD" w:rsidRDefault="008D0DBD" w:rsidP="0009161E">
      <w:pPr>
        <w:spacing w:after="120"/>
        <w:rPr>
          <w:rFonts w:ascii="Arial" w:hAnsi="Arial" w:cs="Arial"/>
          <w:bCs/>
          <w:sz w:val="22"/>
          <w:szCs w:val="22"/>
          <w:lang w:val="de-AT"/>
        </w:rPr>
      </w:pPr>
    </w:p>
    <w:p w:rsidR="008D0DBD" w:rsidRDefault="003A0C86" w:rsidP="0009161E">
      <w:pPr>
        <w:spacing w:after="120"/>
        <w:rPr>
          <w:rFonts w:ascii="Arial" w:hAnsi="Arial" w:cs="Arial"/>
          <w:b/>
          <w:bCs/>
          <w:sz w:val="22"/>
          <w:szCs w:val="22"/>
          <w:lang w:val="de-AT"/>
        </w:rPr>
      </w:pPr>
      <w:r>
        <w:rPr>
          <w:rFonts w:ascii="Arial" w:hAnsi="Arial" w:cs="Arial"/>
          <w:b/>
          <w:bCs/>
          <w:sz w:val="22"/>
          <w:szCs w:val="22"/>
          <w:lang w:val="de-AT"/>
        </w:rPr>
        <w:t>Hinweis: Am Montag, 24. März 2014</w:t>
      </w:r>
      <w:r w:rsidR="00A419E6">
        <w:rPr>
          <w:rFonts w:ascii="Arial" w:hAnsi="Arial" w:cs="Arial"/>
          <w:b/>
          <w:bCs/>
          <w:sz w:val="22"/>
          <w:szCs w:val="22"/>
          <w:lang w:val="de-AT"/>
        </w:rPr>
        <w:t>,</w:t>
      </w:r>
      <w:r>
        <w:rPr>
          <w:rFonts w:ascii="Arial" w:hAnsi="Arial" w:cs="Arial"/>
          <w:b/>
          <w:bCs/>
          <w:sz w:val="22"/>
          <w:szCs w:val="22"/>
          <w:lang w:val="de-AT"/>
        </w:rPr>
        <w:t xml:space="preserve"> ist Welt-Tuberkulosetag!</w:t>
      </w:r>
    </w:p>
    <w:p w:rsidR="008D0DBD" w:rsidRDefault="008D0DBD" w:rsidP="0009161E">
      <w:pPr>
        <w:spacing w:after="120"/>
        <w:rPr>
          <w:rFonts w:ascii="Arial" w:hAnsi="Arial" w:cs="Arial"/>
          <w:bCs/>
          <w:sz w:val="22"/>
          <w:szCs w:val="22"/>
          <w:lang w:val="de-AT"/>
        </w:rPr>
      </w:pPr>
    </w:p>
    <w:p w:rsidR="008D0DBD" w:rsidRDefault="008D0DBD" w:rsidP="0009161E">
      <w:pPr>
        <w:spacing w:after="120"/>
        <w:rPr>
          <w:rFonts w:ascii="Arial" w:hAnsi="Arial" w:cs="Arial"/>
          <w:bCs/>
          <w:sz w:val="22"/>
          <w:szCs w:val="22"/>
          <w:lang w:val="de-AT"/>
        </w:rPr>
      </w:pPr>
    </w:p>
    <w:p w:rsidR="008D0DBD" w:rsidRPr="002955FB" w:rsidRDefault="003A0C86" w:rsidP="00F8022E">
      <w:pPr>
        <w:spacing w:after="120"/>
        <w:rPr>
          <w:rFonts w:ascii="Arial" w:hAnsi="Arial" w:cs="Arial"/>
          <w:b/>
          <w:bCs/>
          <w:sz w:val="22"/>
          <w:szCs w:val="22"/>
          <w:u w:val="single"/>
        </w:rPr>
      </w:pPr>
      <w:r w:rsidRPr="002955FB">
        <w:rPr>
          <w:rFonts w:ascii="Arial" w:hAnsi="Arial" w:cs="Arial"/>
          <w:b/>
          <w:bCs/>
          <w:sz w:val="22"/>
          <w:szCs w:val="22"/>
          <w:u w:val="single"/>
        </w:rPr>
        <w:t>Kontakt</w:t>
      </w:r>
    </w:p>
    <w:p w:rsidR="008D0DBD" w:rsidRDefault="003A0C86" w:rsidP="0009161E">
      <w:pPr>
        <w:pStyle w:val="berschrift4"/>
        <w:spacing w:after="120"/>
        <w:rPr>
          <w:rFonts w:ascii="Arial" w:eastAsia="Times New Roman" w:hAnsi="Arial" w:cs="Arial"/>
          <w:b w:val="0"/>
          <w:bCs w:val="0"/>
          <w:sz w:val="22"/>
          <w:szCs w:val="22"/>
          <w:lang w:val="de-AT"/>
        </w:rPr>
      </w:pPr>
      <w:r>
        <w:rPr>
          <w:rFonts w:ascii="Arial" w:eastAsia="Times New Roman" w:hAnsi="Arial" w:cs="Arial"/>
          <w:b w:val="0"/>
          <w:bCs w:val="0"/>
          <w:sz w:val="22"/>
          <w:szCs w:val="22"/>
          <w:lang w:val="de-AT"/>
        </w:rPr>
        <w:t>Dr. Holger Flick, Leiter des ÖGP-Arbeitskreises ‚</w:t>
      </w:r>
      <w:proofErr w:type="spellStart"/>
      <w:r>
        <w:rPr>
          <w:rFonts w:ascii="Arial" w:eastAsia="Times New Roman" w:hAnsi="Arial" w:cs="Arial"/>
          <w:b w:val="0"/>
          <w:bCs w:val="0"/>
          <w:sz w:val="22"/>
          <w:szCs w:val="22"/>
          <w:lang w:val="de-AT"/>
        </w:rPr>
        <w:t>Infektiologie</w:t>
      </w:r>
      <w:proofErr w:type="spellEnd"/>
      <w:r>
        <w:rPr>
          <w:rFonts w:ascii="Arial" w:eastAsia="Times New Roman" w:hAnsi="Arial" w:cs="Arial"/>
          <w:b w:val="0"/>
          <w:bCs w:val="0"/>
          <w:sz w:val="22"/>
          <w:szCs w:val="22"/>
          <w:lang w:val="de-AT"/>
        </w:rPr>
        <w:t xml:space="preserve"> und Tuberkulose’ und Oberarzt an der Klinische</w:t>
      </w:r>
      <w:r w:rsidR="00116E68">
        <w:rPr>
          <w:rFonts w:ascii="Arial" w:eastAsia="Times New Roman" w:hAnsi="Arial" w:cs="Arial"/>
          <w:b w:val="0"/>
          <w:bCs w:val="0"/>
          <w:sz w:val="22"/>
          <w:szCs w:val="22"/>
          <w:lang w:val="de-AT"/>
        </w:rPr>
        <w:t>n</w:t>
      </w:r>
      <w:r>
        <w:rPr>
          <w:rFonts w:ascii="Arial" w:eastAsia="Times New Roman" w:hAnsi="Arial" w:cs="Arial"/>
          <w:b w:val="0"/>
          <w:bCs w:val="0"/>
          <w:sz w:val="22"/>
          <w:szCs w:val="22"/>
          <w:lang w:val="de-AT"/>
        </w:rPr>
        <w:t xml:space="preserve"> Abteilung für Lungenkrankheiten, UKIM-LKH Universitätsklinikum/Medizini</w:t>
      </w:r>
      <w:r w:rsidR="00121280">
        <w:rPr>
          <w:rFonts w:ascii="Arial" w:eastAsia="Times New Roman" w:hAnsi="Arial" w:cs="Arial"/>
          <w:b w:val="0"/>
          <w:bCs w:val="0"/>
          <w:sz w:val="22"/>
          <w:szCs w:val="22"/>
          <w:lang w:val="de-AT"/>
        </w:rPr>
        <w:softHyphen/>
      </w:r>
      <w:r>
        <w:rPr>
          <w:rFonts w:ascii="Arial" w:eastAsia="Times New Roman" w:hAnsi="Arial" w:cs="Arial"/>
          <w:b w:val="0"/>
          <w:bCs w:val="0"/>
          <w:sz w:val="22"/>
          <w:szCs w:val="22"/>
          <w:lang w:val="de-AT"/>
        </w:rPr>
        <w:t>sche Universität Graz</w:t>
      </w:r>
    </w:p>
    <w:p w:rsidR="008D0DBD" w:rsidRDefault="003A0C86" w:rsidP="0009161E">
      <w:pPr>
        <w:pStyle w:val="berschrift4"/>
        <w:spacing w:before="0" w:after="0" w:line="240" w:lineRule="auto"/>
        <w:rPr>
          <w:rFonts w:ascii="Arial" w:eastAsia="Times New Roman" w:hAnsi="Arial" w:cs="Arial"/>
          <w:b w:val="0"/>
          <w:bCs w:val="0"/>
          <w:sz w:val="22"/>
          <w:szCs w:val="22"/>
          <w:lang w:val="de-AT"/>
        </w:rPr>
      </w:pPr>
      <w:r>
        <w:rPr>
          <w:rFonts w:ascii="Arial" w:eastAsia="Times New Roman" w:hAnsi="Arial" w:cs="Arial"/>
          <w:b w:val="0"/>
          <w:bCs w:val="0"/>
          <w:sz w:val="22"/>
          <w:szCs w:val="22"/>
          <w:lang w:val="de-AT"/>
        </w:rPr>
        <w:t>Tel: +43 316 385 – 80621</w:t>
      </w:r>
    </w:p>
    <w:p w:rsidR="002955FB" w:rsidRDefault="003A0C86" w:rsidP="0009161E">
      <w:pPr>
        <w:pStyle w:val="berschrift4"/>
        <w:spacing w:before="0" w:after="0" w:line="240" w:lineRule="auto"/>
        <w:rPr>
          <w:rFonts w:ascii="Arial" w:eastAsia="Times New Roman" w:hAnsi="Arial" w:cs="Arial"/>
          <w:b w:val="0"/>
          <w:bCs w:val="0"/>
          <w:sz w:val="22"/>
          <w:szCs w:val="22"/>
          <w:lang w:val="de-AT"/>
        </w:rPr>
      </w:pPr>
      <w:r>
        <w:rPr>
          <w:rFonts w:ascii="Arial" w:eastAsia="Times New Roman" w:hAnsi="Arial" w:cs="Arial"/>
          <w:b w:val="0"/>
          <w:bCs w:val="0"/>
          <w:sz w:val="22"/>
          <w:szCs w:val="22"/>
          <w:lang w:val="de-AT"/>
        </w:rPr>
        <w:t xml:space="preserve">E-Mail: </w:t>
      </w:r>
      <w:hyperlink r:id="rId9" w:history="1">
        <w:r w:rsidR="002955FB" w:rsidRPr="00141FAF">
          <w:rPr>
            <w:rStyle w:val="Hyperlink"/>
            <w:rFonts w:ascii="Arial" w:eastAsia="Times New Roman" w:hAnsi="Arial" w:cs="Arial"/>
            <w:b w:val="0"/>
            <w:bCs w:val="0"/>
            <w:sz w:val="22"/>
            <w:szCs w:val="22"/>
            <w:lang w:val="de-AT"/>
          </w:rPr>
          <w:t>holger.flick@medunigraz.at</w:t>
        </w:r>
      </w:hyperlink>
    </w:p>
    <w:p w:rsidR="003B4952" w:rsidRDefault="003B4952" w:rsidP="0009161E">
      <w:pPr>
        <w:pStyle w:val="berschrift4"/>
        <w:spacing w:after="120"/>
        <w:rPr>
          <w:rFonts w:ascii="Arial" w:eastAsia="Times New Roman" w:hAnsi="Arial" w:cs="Arial"/>
          <w:b w:val="0"/>
          <w:bCs w:val="0"/>
          <w:sz w:val="22"/>
          <w:szCs w:val="22"/>
          <w:lang w:val="de-AT"/>
        </w:rPr>
      </w:pPr>
    </w:p>
    <w:p w:rsidR="008D0DBD" w:rsidRDefault="003A0C86" w:rsidP="0009161E">
      <w:pPr>
        <w:spacing w:after="120"/>
        <w:rPr>
          <w:rFonts w:ascii="Arial" w:hAnsi="Arial" w:cs="Arial"/>
          <w:b/>
          <w:bCs/>
          <w:sz w:val="22"/>
          <w:szCs w:val="22"/>
          <w:u w:val="single"/>
          <w:lang w:val="en-US"/>
        </w:rPr>
      </w:pPr>
      <w:proofErr w:type="spellStart"/>
      <w:r>
        <w:rPr>
          <w:rFonts w:ascii="Arial" w:hAnsi="Arial" w:cs="Arial"/>
          <w:b/>
          <w:bCs/>
          <w:sz w:val="22"/>
          <w:szCs w:val="22"/>
          <w:u w:val="single"/>
          <w:lang w:val="en-US"/>
        </w:rPr>
        <w:t>Rückfragen</w:t>
      </w:r>
      <w:proofErr w:type="spellEnd"/>
      <w:r>
        <w:rPr>
          <w:rFonts w:ascii="Arial" w:hAnsi="Arial" w:cs="Arial"/>
          <w:b/>
          <w:bCs/>
          <w:sz w:val="22"/>
          <w:szCs w:val="22"/>
          <w:u w:val="single"/>
          <w:lang w:val="en-US"/>
        </w:rPr>
        <w:t xml:space="preserve"> </w:t>
      </w:r>
      <w:proofErr w:type="spellStart"/>
      <w:r>
        <w:rPr>
          <w:rFonts w:ascii="Arial" w:hAnsi="Arial" w:cs="Arial"/>
          <w:b/>
          <w:bCs/>
          <w:sz w:val="22"/>
          <w:szCs w:val="22"/>
          <w:u w:val="single"/>
          <w:lang w:val="en-US"/>
        </w:rPr>
        <w:t>Presse</w:t>
      </w:r>
      <w:proofErr w:type="spellEnd"/>
    </w:p>
    <w:p w:rsidR="008D0DBD" w:rsidRDefault="003A0C86" w:rsidP="0009161E">
      <w:pPr>
        <w:shd w:val="clear" w:color="auto" w:fill="FFFFFF"/>
        <w:spacing w:after="120"/>
        <w:rPr>
          <w:rFonts w:ascii="Arial" w:hAnsi="Arial" w:cs="Arial"/>
          <w:b/>
          <w:bCs/>
          <w:color w:val="222222"/>
          <w:sz w:val="22"/>
          <w:lang w:val="en-US"/>
        </w:rPr>
      </w:pPr>
      <w:r>
        <w:rPr>
          <w:rFonts w:ascii="Arial" w:hAnsi="Arial" w:cs="Arial"/>
          <w:b/>
          <w:bCs/>
          <w:color w:val="222222"/>
          <w:sz w:val="22"/>
          <w:lang w:val="en-US"/>
        </w:rPr>
        <w:t>Urban &amp; Schenk medical media consulting</w:t>
      </w:r>
    </w:p>
    <w:p w:rsidR="008D0DBD" w:rsidRDefault="003A0C86" w:rsidP="0009161E">
      <w:pPr>
        <w:shd w:val="clear" w:color="auto" w:fill="FFFFFF"/>
        <w:spacing w:after="120"/>
        <w:rPr>
          <w:rStyle w:val="Internetlink"/>
          <w:rFonts w:ascii="Arial" w:hAnsi="Arial" w:cs="Arial"/>
          <w:b/>
          <w:bCs/>
          <w:color w:val="1155CC"/>
          <w:sz w:val="22"/>
          <w:lang w:val="sv-SE"/>
        </w:rPr>
      </w:pPr>
      <w:r>
        <w:rPr>
          <w:rFonts w:ascii="Arial" w:hAnsi="Arial" w:cs="Arial"/>
          <w:color w:val="222222"/>
          <w:sz w:val="22"/>
          <w:lang w:val="sv-SE"/>
        </w:rPr>
        <w:t xml:space="preserve">Barbara Urban: +43 664/41 69 4 59, </w:t>
      </w:r>
      <w:r w:rsidR="00573B88">
        <w:fldChar w:fldCharType="begin"/>
      </w:r>
      <w:r w:rsidR="00FE7CC6" w:rsidRPr="00EC095D">
        <w:rPr>
          <w:lang w:val="en-US"/>
        </w:rPr>
        <w:instrText>HYPERLINK "mailto:barbara.urban@medical-media-consulting.at" \h</w:instrText>
      </w:r>
      <w:r w:rsidR="00573B88">
        <w:fldChar w:fldCharType="separate"/>
      </w:r>
      <w:r>
        <w:rPr>
          <w:rStyle w:val="Internetlink"/>
          <w:rFonts w:ascii="Arial" w:hAnsi="Arial" w:cs="Arial"/>
          <w:color w:val="1155CC"/>
          <w:sz w:val="22"/>
          <w:lang w:val="sv-SE"/>
        </w:rPr>
        <w:t>barbara.urban@medical-media-consulting.at</w:t>
      </w:r>
      <w:r w:rsidR="00573B88">
        <w:fldChar w:fldCharType="end"/>
      </w:r>
    </w:p>
    <w:p w:rsidR="008D0DBD" w:rsidRDefault="003A0C86" w:rsidP="0009161E">
      <w:pPr>
        <w:shd w:val="clear" w:color="auto" w:fill="FFFFFF"/>
        <w:spacing w:after="120"/>
        <w:rPr>
          <w:rStyle w:val="Internetlink"/>
          <w:rFonts w:ascii="Arial" w:hAnsi="Arial" w:cs="Arial"/>
          <w:color w:val="1155CC"/>
          <w:sz w:val="22"/>
        </w:rPr>
      </w:pPr>
      <w:r>
        <w:rPr>
          <w:rFonts w:ascii="Arial" w:hAnsi="Arial" w:cs="Arial"/>
          <w:color w:val="222222"/>
          <w:sz w:val="22"/>
        </w:rPr>
        <w:t xml:space="preserve">Mag. Harald Schenk: +43 664/160 75 99, </w:t>
      </w:r>
      <w:hyperlink r:id="rId10">
        <w:r>
          <w:rPr>
            <w:rStyle w:val="Internetlink"/>
            <w:rFonts w:ascii="Arial" w:hAnsi="Arial" w:cs="Arial"/>
            <w:color w:val="1155CC"/>
            <w:sz w:val="22"/>
          </w:rPr>
          <w:t>harald.schenk@medical-media-consulting.at</w:t>
        </w:r>
      </w:hyperlink>
    </w:p>
    <w:p w:rsidR="0062348B" w:rsidRDefault="0062348B" w:rsidP="0009161E">
      <w:pPr>
        <w:spacing w:after="120" w:line="276" w:lineRule="auto"/>
      </w:pPr>
    </w:p>
    <w:p w:rsidR="003B4952" w:rsidRDefault="003B4952" w:rsidP="003B4952">
      <w:pPr>
        <w:pStyle w:val="berschrift4"/>
        <w:spacing w:after="120"/>
        <w:rPr>
          <w:rFonts w:ascii="Arial" w:eastAsia="Times New Roman" w:hAnsi="Arial" w:cs="Arial"/>
          <w:b w:val="0"/>
          <w:bCs w:val="0"/>
          <w:sz w:val="22"/>
          <w:szCs w:val="22"/>
          <w:lang w:val="de-AT"/>
        </w:rPr>
      </w:pPr>
      <w:proofErr w:type="spellStart"/>
      <w:r w:rsidRPr="003B4952">
        <w:rPr>
          <w:rFonts w:ascii="Arial" w:eastAsia="Times New Roman" w:hAnsi="Arial" w:cs="Arial"/>
          <w:bCs w:val="0"/>
          <w:sz w:val="22"/>
          <w:szCs w:val="22"/>
          <w:lang w:val="de-AT"/>
        </w:rPr>
        <w:t>Attachment</w:t>
      </w:r>
      <w:proofErr w:type="spellEnd"/>
      <w:r>
        <w:rPr>
          <w:rFonts w:ascii="Arial" w:eastAsia="Times New Roman" w:hAnsi="Arial" w:cs="Arial"/>
          <w:b w:val="0"/>
          <w:bCs w:val="0"/>
          <w:sz w:val="22"/>
          <w:szCs w:val="22"/>
          <w:lang w:val="de-AT"/>
        </w:rPr>
        <w:t>: Text in formatierter Form sowie Foto Dr. Holger Flick, Leiter des ÖGP-Arbeitskreises ‚</w:t>
      </w:r>
      <w:proofErr w:type="spellStart"/>
      <w:r>
        <w:rPr>
          <w:rFonts w:ascii="Arial" w:eastAsia="Times New Roman" w:hAnsi="Arial" w:cs="Arial"/>
          <w:b w:val="0"/>
          <w:bCs w:val="0"/>
          <w:sz w:val="22"/>
          <w:szCs w:val="22"/>
          <w:lang w:val="de-AT"/>
        </w:rPr>
        <w:t>Infektiologie</w:t>
      </w:r>
      <w:proofErr w:type="spellEnd"/>
      <w:r>
        <w:rPr>
          <w:rFonts w:ascii="Arial" w:eastAsia="Times New Roman" w:hAnsi="Arial" w:cs="Arial"/>
          <w:b w:val="0"/>
          <w:bCs w:val="0"/>
          <w:sz w:val="22"/>
          <w:szCs w:val="22"/>
          <w:lang w:val="de-AT"/>
        </w:rPr>
        <w:t xml:space="preserve"> und Tuberkulose’; </w:t>
      </w:r>
      <w:proofErr w:type="spellStart"/>
      <w:r>
        <w:rPr>
          <w:rFonts w:ascii="Arial" w:eastAsia="Times New Roman" w:hAnsi="Arial" w:cs="Arial"/>
          <w:b w:val="0"/>
          <w:bCs w:val="0"/>
          <w:sz w:val="22"/>
          <w:szCs w:val="22"/>
          <w:lang w:val="de-AT"/>
        </w:rPr>
        <w:t>Fotocredit</w:t>
      </w:r>
      <w:proofErr w:type="spellEnd"/>
      <w:r>
        <w:rPr>
          <w:rFonts w:ascii="Arial" w:eastAsia="Times New Roman" w:hAnsi="Arial" w:cs="Arial"/>
          <w:b w:val="0"/>
          <w:bCs w:val="0"/>
          <w:sz w:val="22"/>
          <w:szCs w:val="22"/>
          <w:lang w:val="de-AT"/>
        </w:rPr>
        <w:t xml:space="preserve">: privat. </w:t>
      </w:r>
    </w:p>
    <w:p w:rsidR="003B4952" w:rsidRDefault="003B4952" w:rsidP="0009161E">
      <w:pPr>
        <w:spacing w:after="120" w:line="276" w:lineRule="auto"/>
      </w:pPr>
    </w:p>
    <w:sectPr w:rsidR="003B4952" w:rsidSect="00C65763">
      <w:pgSz w:w="11906" w:h="16838"/>
      <w:pgMar w:top="1417" w:right="1417" w:bottom="1134" w:left="1417"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6B" w:rsidRDefault="00CB526B" w:rsidP="00C65763">
      <w:pPr>
        <w:spacing w:line="240" w:lineRule="auto"/>
      </w:pPr>
      <w:r>
        <w:separator/>
      </w:r>
    </w:p>
  </w:endnote>
  <w:endnote w:type="continuationSeparator" w:id="0">
    <w:p w:rsidR="00CB526B" w:rsidRDefault="00CB526B" w:rsidP="00C65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6B" w:rsidRDefault="00CB526B">
      <w:r>
        <w:separator/>
      </w:r>
    </w:p>
  </w:footnote>
  <w:footnote w:type="continuationSeparator" w:id="0">
    <w:p w:rsidR="00CB526B" w:rsidRDefault="00CB526B">
      <w:r>
        <w:continuationSeparator/>
      </w:r>
    </w:p>
  </w:footnote>
  <w:footnote w:id="1">
    <w:p w:rsidR="00C65763" w:rsidRDefault="00D707D8">
      <w:pPr>
        <w:pStyle w:val="Default0"/>
        <w:rPr>
          <w:rFonts w:ascii="Arial" w:hAnsi="Arial" w:cs="Arial"/>
          <w:sz w:val="18"/>
          <w:szCs w:val="20"/>
        </w:rPr>
      </w:pPr>
      <w:r w:rsidRPr="0009161E">
        <w:rPr>
          <w:rStyle w:val="Funotenzeichen"/>
          <w:vertAlign w:val="superscript"/>
        </w:rPr>
        <w:footnoteRef/>
      </w:r>
      <w:r w:rsidR="000F1A37">
        <w:t xml:space="preserve"> </w:t>
      </w:r>
      <w:r w:rsidR="003A0C86">
        <w:rPr>
          <w:rFonts w:ascii="Arial" w:hAnsi="Arial" w:cs="Arial"/>
          <w:sz w:val="18"/>
          <w:szCs w:val="18"/>
        </w:rPr>
        <w:t xml:space="preserve">Österreichische Leitlinie zur Tuberkulose-Umgebungsuntersuchung; </w:t>
      </w:r>
      <w:hyperlink r:id="rId1">
        <w:r w:rsidR="003A0C86">
          <w:rPr>
            <w:rStyle w:val="Internetlink"/>
            <w:rFonts w:ascii="Arial" w:hAnsi="Arial" w:cs="Arial"/>
            <w:sz w:val="18"/>
            <w:szCs w:val="20"/>
          </w:rPr>
          <w:t>http://bmg.gv.at/home/Schwerpunkte/Krankheiten/Uebertragbare_Krankheiten/Oesterreichische_Leitlinie_zur_Tuberkulose_Umgebungsuntersuchung</w:t>
        </w:r>
      </w:hyperlink>
      <w:r w:rsidR="003A0C86">
        <w:rPr>
          <w:rFonts w:ascii="Arial" w:hAnsi="Arial" w:cs="Arial"/>
          <w:sz w:val="18"/>
          <w:szCs w:val="20"/>
        </w:rPr>
        <w:t>)</w:t>
      </w:r>
    </w:p>
    <w:p w:rsidR="00C65763" w:rsidRDefault="00C65763">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C65763"/>
    <w:rsid w:val="0009161E"/>
    <w:rsid w:val="000F1A37"/>
    <w:rsid w:val="00116E68"/>
    <w:rsid w:val="00121280"/>
    <w:rsid w:val="00150A23"/>
    <w:rsid w:val="00184D5F"/>
    <w:rsid w:val="001A694E"/>
    <w:rsid w:val="001D32BE"/>
    <w:rsid w:val="00206633"/>
    <w:rsid w:val="00270452"/>
    <w:rsid w:val="002955FB"/>
    <w:rsid w:val="002A57F5"/>
    <w:rsid w:val="002A7A83"/>
    <w:rsid w:val="003956B5"/>
    <w:rsid w:val="003A0C86"/>
    <w:rsid w:val="003B237F"/>
    <w:rsid w:val="003B4952"/>
    <w:rsid w:val="004110FB"/>
    <w:rsid w:val="0045555C"/>
    <w:rsid w:val="005278CC"/>
    <w:rsid w:val="00573B88"/>
    <w:rsid w:val="005A569A"/>
    <w:rsid w:val="00605114"/>
    <w:rsid w:val="0062348B"/>
    <w:rsid w:val="00697489"/>
    <w:rsid w:val="00706F5B"/>
    <w:rsid w:val="00774B62"/>
    <w:rsid w:val="007A324D"/>
    <w:rsid w:val="007C0948"/>
    <w:rsid w:val="007E44C2"/>
    <w:rsid w:val="00823EDD"/>
    <w:rsid w:val="008D0DBD"/>
    <w:rsid w:val="00914605"/>
    <w:rsid w:val="009939D9"/>
    <w:rsid w:val="009D2B3D"/>
    <w:rsid w:val="00A419E6"/>
    <w:rsid w:val="00AF44AC"/>
    <w:rsid w:val="00B50A49"/>
    <w:rsid w:val="00C257CD"/>
    <w:rsid w:val="00C65763"/>
    <w:rsid w:val="00CB526B"/>
    <w:rsid w:val="00CD0BAF"/>
    <w:rsid w:val="00D43F76"/>
    <w:rsid w:val="00D707D8"/>
    <w:rsid w:val="00D901B7"/>
    <w:rsid w:val="00DC07B8"/>
    <w:rsid w:val="00DE6502"/>
    <w:rsid w:val="00E207D4"/>
    <w:rsid w:val="00E4706F"/>
    <w:rsid w:val="00E561B1"/>
    <w:rsid w:val="00EA0A0B"/>
    <w:rsid w:val="00EC095D"/>
    <w:rsid w:val="00F44FEC"/>
    <w:rsid w:val="00F553F9"/>
    <w:rsid w:val="00F616D3"/>
    <w:rsid w:val="00F8022E"/>
    <w:rsid w:val="00FC51EE"/>
    <w:rsid w:val="00FE7CC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65763"/>
    <w:pPr>
      <w:suppressAutoHyphens/>
      <w:spacing w:after="0" w:line="100" w:lineRule="atLeast"/>
    </w:pPr>
    <w:rPr>
      <w:rFonts w:ascii="Times New Roman" w:eastAsia="Arial Unicode MS" w:hAnsi="Times New Roman" w:cs="Times New Roman"/>
      <w:color w:val="00000A"/>
      <w:sz w:val="24"/>
      <w:szCs w:val="24"/>
    </w:rPr>
  </w:style>
  <w:style w:type="paragraph" w:styleId="berschrift1">
    <w:name w:val="heading 1"/>
    <w:basedOn w:val="Standard"/>
    <w:rsid w:val="00C65763"/>
    <w:pPr>
      <w:keepNext/>
      <w:keepLines/>
      <w:spacing w:before="480"/>
      <w:outlineLvl w:val="0"/>
    </w:pPr>
    <w:rPr>
      <w:rFonts w:ascii="Cambria" w:hAnsi="Cambria"/>
      <w:b/>
      <w:bCs/>
      <w:color w:val="365F91"/>
      <w:sz w:val="28"/>
      <w:szCs w:val="28"/>
    </w:rPr>
  </w:style>
  <w:style w:type="paragraph" w:styleId="berschrift2">
    <w:name w:val="heading 2"/>
    <w:basedOn w:val="Standard"/>
    <w:rsid w:val="00C65763"/>
    <w:pPr>
      <w:keepNext/>
      <w:keepLines/>
      <w:spacing w:before="200"/>
      <w:outlineLvl w:val="1"/>
    </w:pPr>
    <w:rPr>
      <w:rFonts w:ascii="Cambria" w:hAnsi="Cambria"/>
      <w:b/>
      <w:bCs/>
      <w:color w:val="4F81BD"/>
      <w:sz w:val="26"/>
      <w:szCs w:val="26"/>
    </w:rPr>
  </w:style>
  <w:style w:type="paragraph" w:styleId="berschrift4">
    <w:name w:val="heading 4"/>
    <w:basedOn w:val="Standard"/>
    <w:rsid w:val="00C65763"/>
    <w:pPr>
      <w:spacing w:before="280" w:after="28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rsid w:val="00C65763"/>
    <w:rPr>
      <w:rFonts w:ascii="Times New Roman" w:hAnsi="Times New Roman" w:cs="Times New Roman"/>
      <w:b/>
      <w:bCs/>
      <w:sz w:val="24"/>
      <w:szCs w:val="24"/>
      <w:lang w:eastAsia="de-DE"/>
    </w:rPr>
  </w:style>
  <w:style w:type="character" w:customStyle="1" w:styleId="Internetlink">
    <w:name w:val="Internetlink"/>
    <w:basedOn w:val="Absatz-Standardschriftart"/>
    <w:rsid w:val="00C65763"/>
    <w:rPr>
      <w:color w:val="0000FF"/>
      <w:u w:val="single"/>
    </w:rPr>
  </w:style>
  <w:style w:type="character" w:customStyle="1" w:styleId="berschrift2Zchn">
    <w:name w:val="Überschrift 2 Zchn"/>
    <w:basedOn w:val="Absatz-Standardschriftart"/>
    <w:rsid w:val="00C65763"/>
    <w:rPr>
      <w:rFonts w:ascii="Cambria" w:hAnsi="Cambria"/>
      <w:b/>
      <w:bCs/>
      <w:color w:val="4F81BD"/>
      <w:sz w:val="26"/>
      <w:szCs w:val="26"/>
      <w:lang w:eastAsia="de-DE"/>
    </w:rPr>
  </w:style>
  <w:style w:type="character" w:customStyle="1" w:styleId="Starkbetont">
    <w:name w:val="Stark betont"/>
    <w:basedOn w:val="Absatz-Standardschriftart"/>
    <w:rsid w:val="00C65763"/>
    <w:rPr>
      <w:b/>
      <w:bCs/>
    </w:rPr>
  </w:style>
  <w:style w:type="character" w:customStyle="1" w:styleId="berschrift1Zchn">
    <w:name w:val="Überschrift 1 Zchn"/>
    <w:basedOn w:val="Absatz-Standardschriftart"/>
    <w:rsid w:val="00C65763"/>
    <w:rPr>
      <w:rFonts w:ascii="Cambria" w:hAnsi="Cambria"/>
      <w:b/>
      <w:bCs/>
      <w:color w:val="365F91"/>
      <w:sz w:val="28"/>
      <w:szCs w:val="28"/>
      <w:lang w:eastAsia="de-DE"/>
    </w:rPr>
  </w:style>
  <w:style w:type="character" w:customStyle="1" w:styleId="gig-counter-text">
    <w:name w:val="gig-counter-text"/>
    <w:basedOn w:val="Absatz-Standardschriftart"/>
    <w:rsid w:val="00C65763"/>
    <w:rPr>
      <w:b/>
      <w:bCs/>
    </w:rPr>
  </w:style>
  <w:style w:type="character" w:customStyle="1" w:styleId="metabold601">
    <w:name w:val="metabold601"/>
    <w:basedOn w:val="Absatz-Standardschriftart"/>
    <w:rsid w:val="00C65763"/>
  </w:style>
  <w:style w:type="character" w:customStyle="1" w:styleId="hide">
    <w:name w:val="hide"/>
    <w:basedOn w:val="Absatz-Standardschriftart"/>
    <w:rsid w:val="00C65763"/>
  </w:style>
  <w:style w:type="character" w:customStyle="1" w:styleId="times242">
    <w:name w:val="times242"/>
    <w:basedOn w:val="Absatz-Standardschriftart"/>
    <w:rsid w:val="00C65763"/>
  </w:style>
  <w:style w:type="character" w:customStyle="1" w:styleId="initial2">
    <w:name w:val="initial2"/>
    <w:basedOn w:val="Absatz-Standardschriftart"/>
    <w:rsid w:val="00C65763"/>
  </w:style>
  <w:style w:type="character" w:customStyle="1" w:styleId="SprechblasentextZchn">
    <w:name w:val="Sprechblasentext Zchn"/>
    <w:basedOn w:val="Absatz-Standardschriftart"/>
    <w:rsid w:val="00C65763"/>
    <w:rPr>
      <w:rFonts w:ascii="Tahoma" w:hAnsi="Tahoma" w:cs="Tahoma"/>
      <w:sz w:val="16"/>
      <w:szCs w:val="16"/>
      <w:lang w:eastAsia="de-DE"/>
    </w:rPr>
  </w:style>
  <w:style w:type="character" w:customStyle="1" w:styleId="FunotentextZchn">
    <w:name w:val="Fußnotentext Zchn"/>
    <w:basedOn w:val="Absatz-Standardschriftart"/>
    <w:rsid w:val="00C65763"/>
    <w:rPr>
      <w:rFonts w:ascii="Times New Roman" w:hAnsi="Times New Roman" w:cs="Times New Roman"/>
      <w:sz w:val="20"/>
      <w:szCs w:val="20"/>
      <w:lang w:eastAsia="de-DE"/>
    </w:rPr>
  </w:style>
  <w:style w:type="character" w:styleId="Funotenzeichen">
    <w:name w:val="footnote reference"/>
    <w:rsid w:val="00C65763"/>
  </w:style>
  <w:style w:type="character" w:styleId="BesuchterHyperlink">
    <w:name w:val="FollowedHyperlink"/>
    <w:basedOn w:val="Absatz-Standardschriftart"/>
    <w:rsid w:val="00C65763"/>
    <w:rPr>
      <w:color w:val="800080"/>
      <w:u w:val="single"/>
    </w:rPr>
  </w:style>
  <w:style w:type="character" w:customStyle="1" w:styleId="ListLabel1">
    <w:name w:val="ListLabel 1"/>
    <w:rsid w:val="00C65763"/>
    <w:rPr>
      <w:sz w:val="20"/>
    </w:rPr>
  </w:style>
  <w:style w:type="character" w:customStyle="1" w:styleId="ListLabel2">
    <w:name w:val="ListLabel 2"/>
    <w:rsid w:val="00C65763"/>
    <w:rPr>
      <w:rFonts w:eastAsia="MS Mincho" w:cs="Calibri"/>
    </w:rPr>
  </w:style>
  <w:style w:type="character" w:customStyle="1" w:styleId="ListLabel3">
    <w:name w:val="ListLabel 3"/>
    <w:rsid w:val="00C65763"/>
    <w:rPr>
      <w:rFonts w:cs="Courier New"/>
    </w:rPr>
  </w:style>
  <w:style w:type="character" w:customStyle="1" w:styleId="Funotenanker">
    <w:name w:val="Fußnotenanker"/>
    <w:rsid w:val="00C65763"/>
    <w:rPr>
      <w:vertAlign w:val="superscript"/>
    </w:rPr>
  </w:style>
  <w:style w:type="character" w:customStyle="1" w:styleId="Endnotenanker">
    <w:name w:val="Endnotenanker"/>
    <w:rsid w:val="00C65763"/>
    <w:rPr>
      <w:vertAlign w:val="superscript"/>
    </w:rPr>
  </w:style>
  <w:style w:type="character" w:styleId="Endnotenzeichen">
    <w:name w:val="endnote reference"/>
    <w:rsid w:val="00C65763"/>
  </w:style>
  <w:style w:type="paragraph" w:customStyle="1" w:styleId="berschrift">
    <w:name w:val="Überschrift"/>
    <w:basedOn w:val="Standard"/>
    <w:next w:val="Textkrper"/>
    <w:rsid w:val="00C65763"/>
    <w:pPr>
      <w:keepNext/>
      <w:spacing w:before="240" w:after="120"/>
    </w:pPr>
    <w:rPr>
      <w:rFonts w:ascii="Arial" w:hAnsi="Arial" w:cs="Mangal"/>
      <w:sz w:val="28"/>
      <w:szCs w:val="28"/>
    </w:rPr>
  </w:style>
  <w:style w:type="paragraph" w:styleId="Textkrper">
    <w:name w:val="Body Text"/>
    <w:basedOn w:val="Standard"/>
    <w:rsid w:val="00C65763"/>
    <w:pPr>
      <w:spacing w:after="120"/>
    </w:pPr>
  </w:style>
  <w:style w:type="paragraph" w:styleId="Liste">
    <w:name w:val="List"/>
    <w:basedOn w:val="Textkrper"/>
    <w:rsid w:val="00C65763"/>
    <w:rPr>
      <w:rFonts w:cs="Mangal"/>
    </w:rPr>
  </w:style>
  <w:style w:type="paragraph" w:styleId="Beschriftung">
    <w:name w:val="caption"/>
    <w:basedOn w:val="Standard"/>
    <w:rsid w:val="00C65763"/>
    <w:pPr>
      <w:suppressLineNumbers/>
      <w:spacing w:before="120" w:after="120"/>
    </w:pPr>
    <w:rPr>
      <w:rFonts w:cs="Mangal"/>
      <w:i/>
      <w:iCs/>
    </w:rPr>
  </w:style>
  <w:style w:type="paragraph" w:customStyle="1" w:styleId="Verzeichnis">
    <w:name w:val="Verzeichnis"/>
    <w:basedOn w:val="Standard"/>
    <w:rsid w:val="00C65763"/>
    <w:pPr>
      <w:suppressLineNumbers/>
    </w:pPr>
    <w:rPr>
      <w:rFonts w:cs="Mangal"/>
    </w:rPr>
  </w:style>
  <w:style w:type="paragraph" w:customStyle="1" w:styleId="default">
    <w:name w:val="default"/>
    <w:basedOn w:val="Standard"/>
    <w:rsid w:val="00C65763"/>
    <w:rPr>
      <w:rFonts w:ascii="Arial" w:hAnsi="Arial" w:cs="Arial"/>
      <w:color w:val="000000"/>
    </w:rPr>
  </w:style>
  <w:style w:type="paragraph" w:styleId="StandardWeb">
    <w:name w:val="Normal (Web)"/>
    <w:basedOn w:val="Standard"/>
    <w:rsid w:val="00C65763"/>
    <w:pPr>
      <w:spacing w:before="280" w:after="280"/>
    </w:pPr>
    <w:rPr>
      <w:rFonts w:eastAsia="Times New Roman"/>
    </w:rPr>
  </w:style>
  <w:style w:type="paragraph" w:customStyle="1" w:styleId="teaser">
    <w:name w:val="teaser"/>
    <w:basedOn w:val="Standard"/>
    <w:rsid w:val="00C65763"/>
    <w:pPr>
      <w:spacing w:before="280" w:after="280"/>
    </w:pPr>
    <w:rPr>
      <w:rFonts w:eastAsia="Times New Roman"/>
    </w:rPr>
  </w:style>
  <w:style w:type="paragraph" w:customStyle="1" w:styleId="lfloat">
    <w:name w:val="lfloat"/>
    <w:basedOn w:val="Standard"/>
    <w:rsid w:val="00C65763"/>
    <w:pPr>
      <w:spacing w:before="280" w:after="280"/>
    </w:pPr>
    <w:rPr>
      <w:rFonts w:eastAsia="Times New Roman"/>
    </w:rPr>
  </w:style>
  <w:style w:type="paragraph" w:styleId="Sprechblasentext">
    <w:name w:val="Balloon Text"/>
    <w:basedOn w:val="Standard"/>
    <w:rsid w:val="00C65763"/>
    <w:rPr>
      <w:rFonts w:ascii="Tahoma" w:hAnsi="Tahoma" w:cs="Tahoma"/>
      <w:sz w:val="16"/>
      <w:szCs w:val="16"/>
    </w:rPr>
  </w:style>
  <w:style w:type="paragraph" w:customStyle="1" w:styleId="Default0">
    <w:name w:val="Default"/>
    <w:rsid w:val="00C65763"/>
    <w:pPr>
      <w:suppressAutoHyphens/>
      <w:spacing w:after="0" w:line="100" w:lineRule="atLeast"/>
    </w:pPr>
    <w:rPr>
      <w:rFonts w:ascii="Tahoma" w:eastAsia="MS Mincho" w:hAnsi="Tahoma" w:cs="Tahoma"/>
      <w:color w:val="000000"/>
      <w:sz w:val="24"/>
      <w:szCs w:val="24"/>
      <w:lang w:val="de-AT" w:eastAsia="de-AT"/>
    </w:rPr>
  </w:style>
  <w:style w:type="paragraph" w:styleId="Funotentext">
    <w:name w:val="footnote text"/>
    <w:basedOn w:val="Standard"/>
    <w:rsid w:val="00C65763"/>
    <w:rPr>
      <w:sz w:val="20"/>
      <w:szCs w:val="20"/>
    </w:rPr>
  </w:style>
  <w:style w:type="paragraph" w:customStyle="1" w:styleId="Funote">
    <w:name w:val="Fußnote"/>
    <w:basedOn w:val="Standard"/>
    <w:rsid w:val="00C65763"/>
  </w:style>
  <w:style w:type="character" w:styleId="Hyperlink">
    <w:name w:val="Hyperlink"/>
    <w:basedOn w:val="Absatz-Standardschriftart"/>
    <w:uiPriority w:val="99"/>
    <w:unhideWhenUsed/>
    <w:rsid w:val="00295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65763"/>
    <w:pPr>
      <w:suppressAutoHyphens/>
      <w:spacing w:after="0" w:line="100" w:lineRule="atLeast"/>
    </w:pPr>
    <w:rPr>
      <w:rFonts w:ascii="Times New Roman" w:eastAsia="Arial Unicode MS" w:hAnsi="Times New Roman" w:cs="Times New Roman"/>
      <w:color w:val="00000A"/>
      <w:sz w:val="24"/>
      <w:szCs w:val="24"/>
    </w:rPr>
  </w:style>
  <w:style w:type="paragraph" w:styleId="berschrift1">
    <w:name w:val="heading 1"/>
    <w:basedOn w:val="Standard"/>
    <w:rsid w:val="00C65763"/>
    <w:pPr>
      <w:keepNext/>
      <w:keepLines/>
      <w:spacing w:before="480"/>
      <w:outlineLvl w:val="0"/>
    </w:pPr>
    <w:rPr>
      <w:rFonts w:ascii="Cambria" w:hAnsi="Cambria"/>
      <w:b/>
      <w:bCs/>
      <w:color w:val="365F91"/>
      <w:sz w:val="28"/>
      <w:szCs w:val="28"/>
    </w:rPr>
  </w:style>
  <w:style w:type="paragraph" w:styleId="berschrift2">
    <w:name w:val="heading 2"/>
    <w:basedOn w:val="Standard"/>
    <w:rsid w:val="00C65763"/>
    <w:pPr>
      <w:keepNext/>
      <w:keepLines/>
      <w:spacing w:before="200"/>
      <w:outlineLvl w:val="1"/>
    </w:pPr>
    <w:rPr>
      <w:rFonts w:ascii="Cambria" w:hAnsi="Cambria"/>
      <w:b/>
      <w:bCs/>
      <w:color w:val="4F81BD"/>
      <w:sz w:val="26"/>
      <w:szCs w:val="26"/>
    </w:rPr>
  </w:style>
  <w:style w:type="paragraph" w:styleId="berschrift4">
    <w:name w:val="heading 4"/>
    <w:basedOn w:val="Standard"/>
    <w:rsid w:val="00C65763"/>
    <w:pPr>
      <w:spacing w:before="280" w:after="28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rsid w:val="00C65763"/>
    <w:rPr>
      <w:rFonts w:ascii="Times New Roman" w:hAnsi="Times New Roman" w:cs="Times New Roman"/>
      <w:b/>
      <w:bCs/>
      <w:sz w:val="24"/>
      <w:szCs w:val="24"/>
      <w:lang w:eastAsia="de-DE"/>
    </w:rPr>
  </w:style>
  <w:style w:type="character" w:customStyle="1" w:styleId="Internetlink">
    <w:name w:val="Internetlink"/>
    <w:basedOn w:val="Absatz-Standardschriftart"/>
    <w:rsid w:val="00C65763"/>
    <w:rPr>
      <w:color w:val="0000FF"/>
      <w:u w:val="single"/>
    </w:rPr>
  </w:style>
  <w:style w:type="character" w:customStyle="1" w:styleId="berschrift2Zchn">
    <w:name w:val="Überschrift 2 Zchn"/>
    <w:basedOn w:val="Absatz-Standardschriftart"/>
    <w:rsid w:val="00C65763"/>
    <w:rPr>
      <w:rFonts w:ascii="Cambria" w:hAnsi="Cambria"/>
      <w:b/>
      <w:bCs/>
      <w:color w:val="4F81BD"/>
      <w:sz w:val="26"/>
      <w:szCs w:val="26"/>
      <w:lang w:eastAsia="de-DE"/>
    </w:rPr>
  </w:style>
  <w:style w:type="character" w:customStyle="1" w:styleId="Starkbetont">
    <w:name w:val="Stark betont"/>
    <w:basedOn w:val="Absatz-Standardschriftart"/>
    <w:rsid w:val="00C65763"/>
    <w:rPr>
      <w:b/>
      <w:bCs/>
    </w:rPr>
  </w:style>
  <w:style w:type="character" w:customStyle="1" w:styleId="berschrift1Zchn">
    <w:name w:val="Überschrift 1 Zchn"/>
    <w:basedOn w:val="Absatz-Standardschriftart"/>
    <w:rsid w:val="00C65763"/>
    <w:rPr>
      <w:rFonts w:ascii="Cambria" w:hAnsi="Cambria"/>
      <w:b/>
      <w:bCs/>
      <w:color w:val="365F91"/>
      <w:sz w:val="28"/>
      <w:szCs w:val="28"/>
      <w:lang w:eastAsia="de-DE"/>
    </w:rPr>
  </w:style>
  <w:style w:type="character" w:customStyle="1" w:styleId="gig-counter-text">
    <w:name w:val="gig-counter-text"/>
    <w:basedOn w:val="Absatz-Standardschriftart"/>
    <w:rsid w:val="00C65763"/>
    <w:rPr>
      <w:b/>
      <w:bCs/>
    </w:rPr>
  </w:style>
  <w:style w:type="character" w:customStyle="1" w:styleId="metabold601">
    <w:name w:val="metabold601"/>
    <w:basedOn w:val="Absatz-Standardschriftart"/>
    <w:rsid w:val="00C65763"/>
  </w:style>
  <w:style w:type="character" w:customStyle="1" w:styleId="hide">
    <w:name w:val="hide"/>
    <w:basedOn w:val="Absatz-Standardschriftart"/>
    <w:rsid w:val="00C65763"/>
  </w:style>
  <w:style w:type="character" w:customStyle="1" w:styleId="times242">
    <w:name w:val="times242"/>
    <w:basedOn w:val="Absatz-Standardschriftart"/>
    <w:rsid w:val="00C65763"/>
  </w:style>
  <w:style w:type="character" w:customStyle="1" w:styleId="initial2">
    <w:name w:val="initial2"/>
    <w:basedOn w:val="Absatz-Standardschriftart"/>
    <w:rsid w:val="00C65763"/>
  </w:style>
  <w:style w:type="character" w:customStyle="1" w:styleId="SprechblasentextZchn">
    <w:name w:val="Sprechblasentext Zchn"/>
    <w:basedOn w:val="Absatz-Standardschriftart"/>
    <w:rsid w:val="00C65763"/>
    <w:rPr>
      <w:rFonts w:ascii="Tahoma" w:hAnsi="Tahoma" w:cs="Tahoma"/>
      <w:sz w:val="16"/>
      <w:szCs w:val="16"/>
      <w:lang w:eastAsia="de-DE"/>
    </w:rPr>
  </w:style>
  <w:style w:type="character" w:customStyle="1" w:styleId="FunotentextZchn">
    <w:name w:val="Fußnotentext Zchn"/>
    <w:basedOn w:val="Absatz-Standardschriftart"/>
    <w:rsid w:val="00C65763"/>
    <w:rPr>
      <w:rFonts w:ascii="Times New Roman" w:hAnsi="Times New Roman" w:cs="Times New Roman"/>
      <w:sz w:val="20"/>
      <w:szCs w:val="20"/>
      <w:lang w:eastAsia="de-DE"/>
    </w:rPr>
  </w:style>
  <w:style w:type="character" w:styleId="Funotenzeichen">
    <w:name w:val="footnote reference"/>
    <w:rsid w:val="00C65763"/>
  </w:style>
  <w:style w:type="character" w:styleId="BesuchterHyperlink">
    <w:name w:val="FollowedHyperlink"/>
    <w:basedOn w:val="Absatz-Standardschriftart"/>
    <w:rsid w:val="00C65763"/>
    <w:rPr>
      <w:color w:val="800080"/>
      <w:u w:val="single"/>
    </w:rPr>
  </w:style>
  <w:style w:type="character" w:customStyle="1" w:styleId="ListLabel1">
    <w:name w:val="ListLabel 1"/>
    <w:rsid w:val="00C65763"/>
    <w:rPr>
      <w:sz w:val="20"/>
    </w:rPr>
  </w:style>
  <w:style w:type="character" w:customStyle="1" w:styleId="ListLabel2">
    <w:name w:val="ListLabel 2"/>
    <w:rsid w:val="00C65763"/>
    <w:rPr>
      <w:rFonts w:eastAsia="MS Mincho" w:cs="Calibri"/>
    </w:rPr>
  </w:style>
  <w:style w:type="character" w:customStyle="1" w:styleId="ListLabel3">
    <w:name w:val="ListLabel 3"/>
    <w:rsid w:val="00C65763"/>
    <w:rPr>
      <w:rFonts w:cs="Courier New"/>
    </w:rPr>
  </w:style>
  <w:style w:type="character" w:customStyle="1" w:styleId="Funotenanker">
    <w:name w:val="Fußnotenanker"/>
    <w:rsid w:val="00C65763"/>
    <w:rPr>
      <w:vertAlign w:val="superscript"/>
    </w:rPr>
  </w:style>
  <w:style w:type="character" w:customStyle="1" w:styleId="Endnotenanker">
    <w:name w:val="Endnotenanker"/>
    <w:rsid w:val="00C65763"/>
    <w:rPr>
      <w:vertAlign w:val="superscript"/>
    </w:rPr>
  </w:style>
  <w:style w:type="character" w:styleId="Endnotenzeichen">
    <w:name w:val="endnote reference"/>
    <w:rsid w:val="00C65763"/>
  </w:style>
  <w:style w:type="paragraph" w:customStyle="1" w:styleId="berschrift">
    <w:name w:val="Überschrift"/>
    <w:basedOn w:val="Standard"/>
    <w:next w:val="Textkrper"/>
    <w:rsid w:val="00C65763"/>
    <w:pPr>
      <w:keepNext/>
      <w:spacing w:before="240" w:after="120"/>
    </w:pPr>
    <w:rPr>
      <w:rFonts w:ascii="Arial" w:hAnsi="Arial" w:cs="Mangal"/>
      <w:sz w:val="28"/>
      <w:szCs w:val="28"/>
    </w:rPr>
  </w:style>
  <w:style w:type="paragraph" w:styleId="Textkrper">
    <w:name w:val="Body Text"/>
    <w:basedOn w:val="Standard"/>
    <w:rsid w:val="00C65763"/>
    <w:pPr>
      <w:spacing w:after="120"/>
    </w:pPr>
  </w:style>
  <w:style w:type="paragraph" w:styleId="Liste">
    <w:name w:val="List"/>
    <w:basedOn w:val="Textkrper"/>
    <w:rsid w:val="00C65763"/>
    <w:rPr>
      <w:rFonts w:cs="Mangal"/>
    </w:rPr>
  </w:style>
  <w:style w:type="paragraph" w:styleId="Beschriftung">
    <w:name w:val="caption"/>
    <w:basedOn w:val="Standard"/>
    <w:rsid w:val="00C65763"/>
    <w:pPr>
      <w:suppressLineNumbers/>
      <w:spacing w:before="120" w:after="120"/>
    </w:pPr>
    <w:rPr>
      <w:rFonts w:cs="Mangal"/>
      <w:i/>
      <w:iCs/>
    </w:rPr>
  </w:style>
  <w:style w:type="paragraph" w:customStyle="1" w:styleId="Verzeichnis">
    <w:name w:val="Verzeichnis"/>
    <w:basedOn w:val="Standard"/>
    <w:rsid w:val="00C65763"/>
    <w:pPr>
      <w:suppressLineNumbers/>
    </w:pPr>
    <w:rPr>
      <w:rFonts w:cs="Mangal"/>
    </w:rPr>
  </w:style>
  <w:style w:type="paragraph" w:customStyle="1" w:styleId="default">
    <w:name w:val="default"/>
    <w:basedOn w:val="Standard"/>
    <w:rsid w:val="00C65763"/>
    <w:rPr>
      <w:rFonts w:ascii="Arial" w:hAnsi="Arial" w:cs="Arial"/>
      <w:color w:val="000000"/>
    </w:rPr>
  </w:style>
  <w:style w:type="paragraph" w:styleId="StandardWeb">
    <w:name w:val="Normal (Web)"/>
    <w:basedOn w:val="Standard"/>
    <w:rsid w:val="00C65763"/>
    <w:pPr>
      <w:spacing w:before="280" w:after="280"/>
    </w:pPr>
    <w:rPr>
      <w:rFonts w:eastAsia="Times New Roman"/>
    </w:rPr>
  </w:style>
  <w:style w:type="paragraph" w:customStyle="1" w:styleId="teaser">
    <w:name w:val="teaser"/>
    <w:basedOn w:val="Standard"/>
    <w:rsid w:val="00C65763"/>
    <w:pPr>
      <w:spacing w:before="280" w:after="280"/>
    </w:pPr>
    <w:rPr>
      <w:rFonts w:eastAsia="Times New Roman"/>
    </w:rPr>
  </w:style>
  <w:style w:type="paragraph" w:customStyle="1" w:styleId="lfloat">
    <w:name w:val="lfloat"/>
    <w:basedOn w:val="Standard"/>
    <w:rsid w:val="00C65763"/>
    <w:pPr>
      <w:spacing w:before="280" w:after="280"/>
    </w:pPr>
    <w:rPr>
      <w:rFonts w:eastAsia="Times New Roman"/>
    </w:rPr>
  </w:style>
  <w:style w:type="paragraph" w:styleId="Sprechblasentext">
    <w:name w:val="Balloon Text"/>
    <w:basedOn w:val="Standard"/>
    <w:rsid w:val="00C65763"/>
    <w:rPr>
      <w:rFonts w:ascii="Tahoma" w:hAnsi="Tahoma" w:cs="Tahoma"/>
      <w:sz w:val="16"/>
      <w:szCs w:val="16"/>
    </w:rPr>
  </w:style>
  <w:style w:type="paragraph" w:customStyle="1" w:styleId="Default0">
    <w:name w:val="Default"/>
    <w:rsid w:val="00C65763"/>
    <w:pPr>
      <w:suppressAutoHyphens/>
      <w:spacing w:after="0" w:line="100" w:lineRule="atLeast"/>
    </w:pPr>
    <w:rPr>
      <w:rFonts w:ascii="Tahoma" w:eastAsia="MS Mincho" w:hAnsi="Tahoma" w:cs="Tahoma"/>
      <w:color w:val="000000"/>
      <w:sz w:val="24"/>
      <w:szCs w:val="24"/>
      <w:lang w:val="de-AT" w:eastAsia="de-AT"/>
    </w:rPr>
  </w:style>
  <w:style w:type="paragraph" w:styleId="Funotentext">
    <w:name w:val="footnote text"/>
    <w:basedOn w:val="Standard"/>
    <w:rsid w:val="00C65763"/>
    <w:rPr>
      <w:sz w:val="20"/>
      <w:szCs w:val="20"/>
    </w:rPr>
  </w:style>
  <w:style w:type="paragraph" w:customStyle="1" w:styleId="Funote">
    <w:name w:val="Fußnote"/>
    <w:basedOn w:val="Standard"/>
    <w:rsid w:val="00C657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rald.schenk@medical-media-consulting.at" TargetMode="External"/><Relationship Id="rId4" Type="http://schemas.openxmlformats.org/officeDocument/2006/relationships/webSettings" Target="webSettings.xml"/><Relationship Id="rId9" Type="http://schemas.openxmlformats.org/officeDocument/2006/relationships/hyperlink" Target="mailto:holger.flick@medunigraz.at"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bmg.gv.at/home/Schwerpunkte/Krankheiten/Uebertragbare_Krankheiten/Oesterreichische_Leitlinie_zur_Tuberkulose_Umgebungsuntersuch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BC93-16E7-4E1A-BEE1-961F7F4F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2014-03-17T08:58:00Z</cp:lastPrinted>
  <dcterms:created xsi:type="dcterms:W3CDTF">2014-03-19T17:42:00Z</dcterms:created>
  <dcterms:modified xsi:type="dcterms:W3CDTF">2014-03-19T21:12:00Z</dcterms:modified>
</cp:coreProperties>
</file>