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FE" w:rsidRDefault="00657FFE" w:rsidP="00EF6589">
      <w:pPr>
        <w:tabs>
          <w:tab w:val="left" w:pos="900"/>
        </w:tabs>
        <w:rPr>
          <w:rFonts w:ascii="Arial" w:hAnsi="Arial"/>
          <w:b/>
          <w:lang w:val="en-US"/>
        </w:rPr>
      </w:pPr>
    </w:p>
    <w:p w:rsidR="00657FFE" w:rsidRDefault="00657FFE" w:rsidP="00EF6589">
      <w:pPr>
        <w:tabs>
          <w:tab w:val="left" w:pos="900"/>
        </w:tabs>
        <w:rPr>
          <w:rFonts w:ascii="Arial" w:hAnsi="Arial"/>
          <w:b/>
          <w:lang w:val="en-US"/>
        </w:rPr>
      </w:pPr>
    </w:p>
    <w:p w:rsidR="002C6BAF" w:rsidRPr="00A930B3" w:rsidRDefault="002C6BAF" w:rsidP="00EF6589">
      <w:pPr>
        <w:tabs>
          <w:tab w:val="left" w:pos="900"/>
        </w:tabs>
        <w:rPr>
          <w:rFonts w:ascii="Arial" w:hAnsi="Arial"/>
          <w:b/>
          <w:lang w:val="en-US"/>
        </w:rPr>
      </w:pPr>
      <w:r w:rsidRPr="00A930B3">
        <w:rPr>
          <w:rFonts w:ascii="Arial" w:hAnsi="Arial"/>
          <w:b/>
          <w:lang w:val="en-US"/>
        </w:rPr>
        <w:t xml:space="preserve">Univ.-Prof. Dr. Hans-Christian Egarter </w:t>
      </w:r>
    </w:p>
    <w:p w:rsidR="00CC505C" w:rsidRPr="00A930B3" w:rsidRDefault="00CC505C" w:rsidP="00CC505C">
      <w:pPr>
        <w:rPr>
          <w:rFonts w:ascii="Arial" w:hAnsi="Arial"/>
          <w:i/>
          <w:sz w:val="22"/>
          <w:szCs w:val="22"/>
          <w:lang w:eastAsia="de-AT"/>
        </w:rPr>
      </w:pPr>
      <w:r w:rsidRPr="00A930B3">
        <w:rPr>
          <w:rFonts w:ascii="Arial" w:hAnsi="Arial"/>
          <w:i/>
          <w:sz w:val="22"/>
          <w:szCs w:val="22"/>
          <w:lang w:eastAsia="de-AT"/>
        </w:rPr>
        <w:t>Univ.-Klinik für Frauenheilkunde, Leiter: Klinische Abteilung für Gynäkologische Endokrinologie und Reproduktionsmedizin, AKH - Medizinische Universität Wien</w:t>
      </w:r>
    </w:p>
    <w:p w:rsidR="00CC505C" w:rsidRPr="00A930B3" w:rsidRDefault="00CC505C" w:rsidP="00CC505C">
      <w:pPr>
        <w:rPr>
          <w:rFonts w:ascii="Arial" w:hAnsi="Arial"/>
          <w:i/>
          <w:sz w:val="22"/>
          <w:szCs w:val="22"/>
          <w:lang w:eastAsia="de-AT"/>
        </w:rPr>
      </w:pPr>
      <w:r w:rsidRPr="00A930B3">
        <w:rPr>
          <w:rFonts w:ascii="Arial" w:hAnsi="Arial"/>
          <w:i/>
          <w:sz w:val="22"/>
          <w:szCs w:val="22"/>
          <w:lang w:eastAsia="de-AT"/>
        </w:rPr>
        <w:t>Präsident der Österreichischen Gesellschaft für Sterilität, Fertilität und Endokrinologie</w:t>
      </w:r>
    </w:p>
    <w:p w:rsidR="002C6BAF" w:rsidRPr="00A930B3" w:rsidRDefault="002C6BAF" w:rsidP="00EF6589">
      <w:pPr>
        <w:spacing w:after="60" w:line="312" w:lineRule="auto"/>
        <w:rPr>
          <w:rFonts w:ascii="Arial" w:hAnsi="Arial"/>
          <w:b/>
        </w:rPr>
      </w:pPr>
    </w:p>
    <w:p w:rsidR="002C6BAF" w:rsidRPr="00A930B3" w:rsidRDefault="002C6BAF" w:rsidP="00EF6589">
      <w:pPr>
        <w:spacing w:after="120" w:line="312" w:lineRule="auto"/>
        <w:rPr>
          <w:rFonts w:ascii="Arial" w:hAnsi="Arial"/>
          <w:sz w:val="28"/>
        </w:rPr>
      </w:pPr>
      <w:r w:rsidRPr="00A930B3">
        <w:rPr>
          <w:rFonts w:ascii="Arial" w:hAnsi="Arial"/>
          <w:b/>
          <w:sz w:val="28"/>
        </w:rPr>
        <w:t xml:space="preserve">„Neueste Erkenntnisse zur </w:t>
      </w:r>
      <w:proofErr w:type="spellStart"/>
      <w:r w:rsidRPr="00A930B3">
        <w:rPr>
          <w:rFonts w:ascii="Arial" w:hAnsi="Arial"/>
          <w:b/>
          <w:sz w:val="28"/>
        </w:rPr>
        <w:t>menopausalen</w:t>
      </w:r>
      <w:proofErr w:type="spellEnd"/>
      <w:r w:rsidRPr="00A930B3">
        <w:rPr>
          <w:rFonts w:ascii="Arial" w:hAnsi="Arial"/>
          <w:b/>
          <w:sz w:val="28"/>
        </w:rPr>
        <w:t xml:space="preserve"> Hormonersatztherapie MHT“ </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 xml:space="preserve">Die Geschichte der Hormonersatztherapie: Zwischen Euphorie und Ernüchterung </w:t>
      </w:r>
    </w:p>
    <w:p w:rsidR="002C6BAF" w:rsidRPr="00A930B3" w:rsidRDefault="002C6BAF" w:rsidP="00C2169D">
      <w:pPr>
        <w:spacing w:after="120" w:line="312" w:lineRule="auto"/>
        <w:rPr>
          <w:rFonts w:ascii="Arial" w:hAnsi="Arial"/>
          <w:sz w:val="22"/>
          <w:szCs w:val="22"/>
        </w:rPr>
      </w:pPr>
      <w:r w:rsidRPr="00A930B3">
        <w:rPr>
          <w:rFonts w:ascii="Arial" w:hAnsi="Arial"/>
          <w:sz w:val="22"/>
          <w:szCs w:val="22"/>
        </w:rPr>
        <w:t xml:space="preserve">Vor rund </w:t>
      </w:r>
      <w:r w:rsidR="00C2169D">
        <w:rPr>
          <w:rFonts w:ascii="Arial" w:hAnsi="Arial"/>
          <w:sz w:val="22"/>
          <w:szCs w:val="22"/>
        </w:rPr>
        <w:t xml:space="preserve"> </w:t>
      </w:r>
      <w:r w:rsidRPr="00A930B3">
        <w:rPr>
          <w:rFonts w:ascii="Arial" w:hAnsi="Arial"/>
          <w:sz w:val="22"/>
          <w:szCs w:val="22"/>
        </w:rPr>
        <w:t xml:space="preserve">20 Jahren trat die Hormonersatztherapie ihren Siegeszug an. </w:t>
      </w:r>
      <w:r w:rsidR="00657FFE" w:rsidRPr="00A930B3">
        <w:rPr>
          <w:rFonts w:ascii="Arial" w:hAnsi="Arial"/>
          <w:sz w:val="22"/>
          <w:szCs w:val="22"/>
        </w:rPr>
        <w:t>W</w:t>
      </w:r>
      <w:r w:rsidRPr="00A930B3">
        <w:rPr>
          <w:rFonts w:ascii="Arial" w:hAnsi="Arial"/>
          <w:sz w:val="22"/>
          <w:szCs w:val="22"/>
        </w:rPr>
        <w:t xml:space="preserve">echselbeschwerden, die als Folge der veränderten Hormonlage nach der Menopause </w:t>
      </w:r>
      <w:r w:rsidR="00BB0DB7" w:rsidRPr="00A930B3">
        <w:rPr>
          <w:rFonts w:ascii="Arial" w:hAnsi="Arial"/>
          <w:sz w:val="22"/>
          <w:szCs w:val="22"/>
        </w:rPr>
        <w:br/>
      </w:r>
      <w:r w:rsidRPr="00A930B3">
        <w:rPr>
          <w:rFonts w:ascii="Arial" w:hAnsi="Arial"/>
          <w:sz w:val="22"/>
          <w:szCs w:val="22"/>
        </w:rPr>
        <w:t xml:space="preserve">(= letzte Menstruationsblutung) die Lebensqualität vieler Frauen beeinflussen, schienen durch die medikamentöse Substitution der fehlenden Hormone ein für alle Mal der Vergangenheit anzugehören. Auch die gefürchteten Langzeitfolgen des postmenopausalen Hormonmangels wie Osteoporose und die Erhöhung des Risikos für Herz-Kreislauf-Erkrankungen schienen durch die MHT (= </w:t>
      </w:r>
      <w:proofErr w:type="spellStart"/>
      <w:r w:rsidRPr="00A930B3">
        <w:rPr>
          <w:rFonts w:ascii="Arial" w:hAnsi="Arial"/>
          <w:sz w:val="22"/>
          <w:szCs w:val="22"/>
        </w:rPr>
        <w:t>menopausale</w:t>
      </w:r>
      <w:proofErr w:type="spellEnd"/>
      <w:r w:rsidRPr="00A930B3">
        <w:rPr>
          <w:rFonts w:ascii="Arial" w:hAnsi="Arial"/>
          <w:sz w:val="22"/>
          <w:szCs w:val="22"/>
        </w:rPr>
        <w:t xml:space="preserve"> Hormontherapie; früher: HRT) gebannt. Die Euphorie war grenzenlos: Es schien ein „Jungbrunnen“ gefunden, der Frauen jugendliches Aussehen sowie ein weitgehend beschwerdefreies und gesundes Leben bis ins hohe Alter verhieß.</w:t>
      </w:r>
    </w:p>
    <w:p w:rsidR="002C6BAF" w:rsidRPr="00A930B3" w:rsidRDefault="002C6BAF" w:rsidP="00BF54CF">
      <w:pPr>
        <w:spacing w:after="120" w:line="312" w:lineRule="auto"/>
        <w:rPr>
          <w:rFonts w:ascii="Arial" w:hAnsi="Arial"/>
          <w:sz w:val="22"/>
          <w:szCs w:val="22"/>
        </w:rPr>
      </w:pPr>
      <w:r w:rsidRPr="00A930B3">
        <w:rPr>
          <w:rFonts w:ascii="Arial" w:hAnsi="Arial"/>
          <w:sz w:val="22"/>
          <w:szCs w:val="22"/>
        </w:rPr>
        <w:t xml:space="preserve">Doch vor etwas mehr als </w:t>
      </w:r>
      <w:r w:rsidR="00657FFE" w:rsidRPr="00A930B3">
        <w:rPr>
          <w:rFonts w:ascii="Arial" w:hAnsi="Arial"/>
          <w:sz w:val="22"/>
          <w:szCs w:val="22"/>
        </w:rPr>
        <w:t>zehn</w:t>
      </w:r>
      <w:r w:rsidRPr="00A930B3">
        <w:rPr>
          <w:rFonts w:ascii="Arial" w:hAnsi="Arial"/>
          <w:sz w:val="22"/>
          <w:szCs w:val="22"/>
        </w:rPr>
        <w:t xml:space="preserve"> Jahren kam die große Ernüchterung: Die WHI-Studie ("</w:t>
      </w:r>
      <w:proofErr w:type="spellStart"/>
      <w:r w:rsidRPr="00A930B3">
        <w:rPr>
          <w:rFonts w:ascii="Arial" w:hAnsi="Arial"/>
          <w:sz w:val="22"/>
          <w:szCs w:val="22"/>
        </w:rPr>
        <w:t>Women's</w:t>
      </w:r>
      <w:proofErr w:type="spellEnd"/>
      <w:r w:rsidRPr="00A930B3">
        <w:rPr>
          <w:rFonts w:ascii="Arial" w:hAnsi="Arial"/>
          <w:sz w:val="22"/>
          <w:szCs w:val="22"/>
        </w:rPr>
        <w:t xml:space="preserve"> </w:t>
      </w:r>
      <w:proofErr w:type="spellStart"/>
      <w:r w:rsidRPr="00A930B3">
        <w:rPr>
          <w:rFonts w:ascii="Arial" w:hAnsi="Arial"/>
          <w:sz w:val="22"/>
          <w:szCs w:val="22"/>
        </w:rPr>
        <w:t>Health</w:t>
      </w:r>
      <w:proofErr w:type="spellEnd"/>
      <w:r w:rsidRPr="00A930B3">
        <w:rPr>
          <w:rFonts w:ascii="Arial" w:hAnsi="Arial"/>
          <w:sz w:val="22"/>
          <w:szCs w:val="22"/>
        </w:rPr>
        <w:t xml:space="preserve"> Initiative") schien zu belegen, dass der Einsatz von Östrogenen und Gestagenen lebensgefährliche Nebenwirkungen wie Herzinfarkt, Schlaganfall, Thrombose, Brustkrebs haben kann – und das in unerwartetem Ausmaß. Dies führte dazu, dass die Hormonersatztherapie </w:t>
      </w:r>
      <w:r w:rsidR="00B01CC8" w:rsidRPr="00A930B3">
        <w:rPr>
          <w:rFonts w:ascii="Arial" w:hAnsi="Arial"/>
          <w:sz w:val="22"/>
          <w:szCs w:val="22"/>
        </w:rPr>
        <w:t>ziemlich</w:t>
      </w:r>
      <w:r w:rsidRPr="00A930B3">
        <w:rPr>
          <w:rFonts w:ascii="Arial" w:hAnsi="Arial"/>
          <w:sz w:val="22"/>
          <w:szCs w:val="22"/>
        </w:rPr>
        <w:t xml:space="preserve"> in Verruf geriet.</w:t>
      </w:r>
    </w:p>
    <w:p w:rsidR="002C6BAF" w:rsidRPr="00A930B3" w:rsidRDefault="002C6BAF" w:rsidP="00657FFE">
      <w:pPr>
        <w:spacing w:after="120" w:line="312" w:lineRule="auto"/>
        <w:rPr>
          <w:rFonts w:ascii="Arial" w:hAnsi="Arial"/>
          <w:sz w:val="22"/>
          <w:szCs w:val="22"/>
        </w:rPr>
      </w:pPr>
      <w:r w:rsidRPr="00A930B3">
        <w:rPr>
          <w:rFonts w:ascii="Arial" w:hAnsi="Arial"/>
          <w:sz w:val="22"/>
          <w:szCs w:val="22"/>
        </w:rPr>
        <w:t xml:space="preserve">In der Zwischenzeit wurden zahlreiche Studien durchgeführt, die diese Ergebnisse relativieren. Nun ist es Zeit, die Dinge richtigzustellen und mit Mythen aufzuräumen. Das vorliegende </w:t>
      </w:r>
      <w:proofErr w:type="spellStart"/>
      <w:r w:rsidRPr="00A930B3">
        <w:rPr>
          <w:rFonts w:ascii="Arial" w:hAnsi="Arial"/>
          <w:sz w:val="22"/>
          <w:szCs w:val="22"/>
        </w:rPr>
        <w:t>Konsensuspapier</w:t>
      </w:r>
      <w:proofErr w:type="spellEnd"/>
      <w:r w:rsidRPr="00A930B3">
        <w:rPr>
          <w:rFonts w:ascii="Arial" w:hAnsi="Arial"/>
          <w:sz w:val="22"/>
          <w:szCs w:val="22"/>
        </w:rPr>
        <w:t>, herausgegeben von</w:t>
      </w:r>
      <w:r w:rsidR="00657FFE" w:rsidRPr="00A930B3">
        <w:rPr>
          <w:rFonts w:ascii="Arial" w:hAnsi="Arial"/>
          <w:sz w:val="22"/>
          <w:szCs w:val="22"/>
        </w:rPr>
        <w:t xml:space="preserve"> der Österreichischen Menopauseg</w:t>
      </w:r>
      <w:r w:rsidRPr="00A930B3">
        <w:rPr>
          <w:rFonts w:ascii="Arial" w:hAnsi="Arial"/>
          <w:sz w:val="22"/>
          <w:szCs w:val="22"/>
        </w:rPr>
        <w:t>esellschaft und der Österreichisch</w:t>
      </w:r>
      <w:r w:rsidR="00C2169D">
        <w:rPr>
          <w:rFonts w:ascii="Arial" w:hAnsi="Arial"/>
          <w:sz w:val="22"/>
          <w:szCs w:val="22"/>
        </w:rPr>
        <w:t xml:space="preserve">en Gesellschaft für Sterilität, </w:t>
      </w:r>
      <w:r w:rsidRPr="00A930B3">
        <w:rPr>
          <w:rFonts w:ascii="Arial" w:hAnsi="Arial"/>
          <w:sz w:val="22"/>
          <w:szCs w:val="22"/>
        </w:rPr>
        <w:t>Fertilität und Endokrinologie</w:t>
      </w:r>
      <w:r w:rsidR="00657FFE" w:rsidRPr="00A930B3">
        <w:rPr>
          <w:rFonts w:ascii="Arial" w:hAnsi="Arial"/>
          <w:sz w:val="22"/>
          <w:szCs w:val="22"/>
        </w:rPr>
        <w:t>,</w:t>
      </w:r>
      <w:r w:rsidRPr="00A930B3">
        <w:rPr>
          <w:rFonts w:ascii="Arial" w:hAnsi="Arial"/>
          <w:sz w:val="22"/>
          <w:szCs w:val="22"/>
        </w:rPr>
        <w:t xml:space="preserve"> fasst den aktuellen Stand der Forschung zu diesem Thema zusammen und soll </w:t>
      </w:r>
      <w:proofErr w:type="spellStart"/>
      <w:r w:rsidRPr="00A930B3">
        <w:rPr>
          <w:rFonts w:ascii="Arial" w:hAnsi="Arial"/>
          <w:sz w:val="22"/>
          <w:szCs w:val="22"/>
        </w:rPr>
        <w:t>ÄrztInnen</w:t>
      </w:r>
      <w:proofErr w:type="spellEnd"/>
      <w:r w:rsidRPr="00A930B3">
        <w:rPr>
          <w:rFonts w:ascii="Arial" w:hAnsi="Arial"/>
          <w:sz w:val="22"/>
          <w:szCs w:val="22"/>
        </w:rPr>
        <w:t xml:space="preserve"> in der Praxis dabei unterstützen, die richtige, für die jeweilige Patientin individuelle Therapie zu erstellen.</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 xml:space="preserve">Warum wird die WHI-Studie heute in einem anderen Licht gesehen? </w:t>
      </w:r>
    </w:p>
    <w:p w:rsidR="002C6BAF" w:rsidRPr="00A930B3" w:rsidRDefault="002C6BAF" w:rsidP="00BF54CF">
      <w:pPr>
        <w:spacing w:after="120" w:line="312" w:lineRule="auto"/>
        <w:rPr>
          <w:rFonts w:ascii="Arial" w:hAnsi="Arial"/>
          <w:sz w:val="22"/>
          <w:szCs w:val="22"/>
        </w:rPr>
      </w:pPr>
      <w:r w:rsidRPr="00A930B3">
        <w:rPr>
          <w:rFonts w:ascii="Arial" w:hAnsi="Arial"/>
          <w:sz w:val="22"/>
          <w:szCs w:val="22"/>
        </w:rPr>
        <w:t xml:space="preserve">In dieser Studie waren 70% der </w:t>
      </w:r>
      <w:r w:rsidR="00B01CC8" w:rsidRPr="00A930B3">
        <w:rPr>
          <w:rFonts w:ascii="Arial" w:hAnsi="Arial"/>
          <w:sz w:val="22"/>
          <w:szCs w:val="22"/>
        </w:rPr>
        <w:t>einbezogenen</w:t>
      </w:r>
      <w:r w:rsidRPr="00A930B3">
        <w:rPr>
          <w:rFonts w:ascii="Arial" w:hAnsi="Arial"/>
          <w:sz w:val="22"/>
          <w:szCs w:val="22"/>
        </w:rPr>
        <w:t xml:space="preserve"> Frauen bei Beginn der MHT bereits über 60 Jahre alt und hätten aufgrund fehlender </w:t>
      </w:r>
      <w:proofErr w:type="spellStart"/>
      <w:r w:rsidRPr="00A930B3">
        <w:rPr>
          <w:rFonts w:ascii="Arial" w:hAnsi="Arial"/>
          <w:sz w:val="22"/>
          <w:szCs w:val="22"/>
        </w:rPr>
        <w:t>menopausaler</w:t>
      </w:r>
      <w:proofErr w:type="spellEnd"/>
      <w:r w:rsidRPr="00A930B3">
        <w:rPr>
          <w:rFonts w:ascii="Arial" w:hAnsi="Arial"/>
          <w:sz w:val="22"/>
          <w:szCs w:val="22"/>
        </w:rPr>
        <w:t xml:space="preserve"> Beschwerden (lediglich 10%) </w:t>
      </w:r>
      <w:r w:rsidR="00BF54CF" w:rsidRPr="00A930B3">
        <w:rPr>
          <w:rFonts w:ascii="Arial" w:hAnsi="Arial"/>
          <w:sz w:val="22"/>
          <w:szCs w:val="22"/>
        </w:rPr>
        <w:t>sowie</w:t>
      </w:r>
      <w:r w:rsidRPr="00A930B3">
        <w:rPr>
          <w:rFonts w:ascii="Arial" w:hAnsi="Arial"/>
          <w:sz w:val="22"/>
          <w:szCs w:val="22"/>
        </w:rPr>
        <w:t xml:space="preserve"> bestehender Vorerkrankungen sowie K</w:t>
      </w:r>
      <w:r w:rsidR="00644B47">
        <w:rPr>
          <w:rFonts w:ascii="Arial" w:hAnsi="Arial"/>
          <w:sz w:val="22"/>
          <w:szCs w:val="22"/>
        </w:rPr>
        <w:t xml:space="preserve">ontraindikationen gar keine MHT </w:t>
      </w:r>
      <w:r w:rsidRPr="00A930B3">
        <w:rPr>
          <w:rFonts w:ascii="Arial" w:hAnsi="Arial"/>
          <w:sz w:val="22"/>
          <w:szCs w:val="22"/>
        </w:rPr>
        <w:t>erhalten sollen. Rezentere Publikationen, Lei</w:t>
      </w:r>
      <w:r w:rsidR="00BB0DB7" w:rsidRPr="00A930B3">
        <w:rPr>
          <w:rFonts w:ascii="Arial" w:hAnsi="Arial"/>
          <w:sz w:val="22"/>
          <w:szCs w:val="22"/>
        </w:rPr>
        <w:t>t</w:t>
      </w:r>
      <w:r w:rsidRPr="00A930B3">
        <w:rPr>
          <w:rFonts w:ascii="Arial" w:hAnsi="Arial"/>
          <w:sz w:val="22"/>
          <w:szCs w:val="22"/>
        </w:rPr>
        <w:t xml:space="preserve">linien und Expertenmeinungen kommen heute zu dem Schluss, </w:t>
      </w:r>
      <w:r w:rsidRPr="00A930B3">
        <w:rPr>
          <w:rFonts w:ascii="Arial" w:hAnsi="Arial"/>
          <w:sz w:val="22"/>
          <w:szCs w:val="22"/>
        </w:rPr>
        <w:lastRenderedPageBreak/>
        <w:t xml:space="preserve">dass bei </w:t>
      </w:r>
      <w:r w:rsidRPr="00A930B3">
        <w:rPr>
          <w:rFonts w:ascii="Arial" w:hAnsi="Arial"/>
          <w:sz w:val="22"/>
          <w:szCs w:val="22"/>
          <w:u w:val="single"/>
        </w:rPr>
        <w:t>frühem</w:t>
      </w:r>
      <w:r w:rsidRPr="00A930B3">
        <w:rPr>
          <w:rFonts w:ascii="Arial" w:hAnsi="Arial"/>
          <w:sz w:val="22"/>
          <w:szCs w:val="22"/>
        </w:rPr>
        <w:t xml:space="preserve"> Therapiebeginn – idealerweise innerhalb der ersten Monate nach der Menopause – bei differenzierter Indikationsstellung und Berücksichtigung des individuellen Beschwerde- und auch Risikoprofils eindeutig der Nutzen der MHT gegenüber potenziellen Risiken überwiegt. Bei MHT-Anwenderinnen ist darüber hinaus die Gesamtmortalität niedriger als ohne MHT. </w:t>
      </w:r>
    </w:p>
    <w:p w:rsidR="002C6BAF" w:rsidRPr="00A930B3" w:rsidRDefault="00EF6589" w:rsidP="00EF6589">
      <w:pPr>
        <w:tabs>
          <w:tab w:val="left" w:pos="900"/>
        </w:tabs>
        <w:spacing w:after="120" w:line="312" w:lineRule="auto"/>
        <w:rPr>
          <w:rFonts w:ascii="Arial" w:hAnsi="Arial"/>
          <w:b/>
          <w:sz w:val="22"/>
          <w:szCs w:val="22"/>
        </w:rPr>
      </w:pPr>
      <w:r w:rsidRPr="00A930B3">
        <w:rPr>
          <w:rFonts w:ascii="Arial" w:hAnsi="Arial"/>
          <w:b/>
          <w:sz w:val="22"/>
          <w:szCs w:val="22"/>
        </w:rPr>
        <w:br/>
      </w:r>
      <w:r w:rsidR="002C6BAF" w:rsidRPr="00A930B3">
        <w:rPr>
          <w:rFonts w:ascii="Arial" w:hAnsi="Arial"/>
          <w:b/>
          <w:sz w:val="22"/>
          <w:szCs w:val="22"/>
        </w:rPr>
        <w:t>Update Leitlinien 2016</w:t>
      </w:r>
    </w:p>
    <w:p w:rsidR="002C6BAF" w:rsidRPr="00A930B3" w:rsidRDefault="002C6BAF" w:rsidP="00EF6589">
      <w:pPr>
        <w:tabs>
          <w:tab w:val="left" w:pos="900"/>
        </w:tabs>
        <w:spacing w:after="120" w:line="312" w:lineRule="auto"/>
        <w:rPr>
          <w:rFonts w:ascii="Arial" w:hAnsi="Arial"/>
          <w:b/>
          <w:sz w:val="22"/>
          <w:szCs w:val="22"/>
        </w:rPr>
      </w:pPr>
      <w:r w:rsidRPr="00A930B3">
        <w:rPr>
          <w:rFonts w:ascii="Arial" w:hAnsi="Arial"/>
          <w:b/>
          <w:sz w:val="22"/>
          <w:szCs w:val="22"/>
        </w:rPr>
        <w:t xml:space="preserve">Welche Frauen kommen für die Behandlung in Frage? </w:t>
      </w:r>
    </w:p>
    <w:p w:rsidR="002C6BAF" w:rsidRPr="00A930B3" w:rsidRDefault="002C6BAF" w:rsidP="00EF6589">
      <w:pPr>
        <w:tabs>
          <w:tab w:val="left" w:pos="900"/>
        </w:tabs>
        <w:spacing w:after="120" w:line="312" w:lineRule="auto"/>
        <w:rPr>
          <w:rFonts w:ascii="Arial" w:hAnsi="Arial"/>
          <w:b/>
          <w:sz w:val="22"/>
          <w:szCs w:val="22"/>
        </w:rPr>
      </w:pPr>
      <w:r w:rsidRPr="00A930B3">
        <w:rPr>
          <w:rFonts w:ascii="Arial" w:hAnsi="Arial"/>
          <w:sz w:val="22"/>
          <w:szCs w:val="22"/>
        </w:rPr>
        <w:t xml:space="preserve">Man muss sich an den Hormonmangelsymptomen orientieren; es hängt ausschließlich von den körperlichen und psychischen Symptomen und nicht vom Lebensalter der Frau ab. </w:t>
      </w:r>
    </w:p>
    <w:p w:rsidR="002C6BAF" w:rsidRPr="00A930B3" w:rsidRDefault="002C6BAF" w:rsidP="00BF54CF">
      <w:pPr>
        <w:tabs>
          <w:tab w:val="left" w:pos="900"/>
        </w:tabs>
        <w:spacing w:after="120" w:line="312" w:lineRule="auto"/>
        <w:rPr>
          <w:rFonts w:ascii="Arial" w:hAnsi="Arial"/>
          <w:sz w:val="22"/>
          <w:szCs w:val="22"/>
        </w:rPr>
      </w:pPr>
      <w:r w:rsidRPr="00A930B3">
        <w:rPr>
          <w:rFonts w:ascii="Arial" w:hAnsi="Arial"/>
          <w:sz w:val="22"/>
          <w:szCs w:val="22"/>
        </w:rPr>
        <w:t xml:space="preserve">Die MHT stellt die effizienteste Therapie bei </w:t>
      </w:r>
      <w:r w:rsidR="00BF54CF" w:rsidRPr="00A930B3">
        <w:rPr>
          <w:rFonts w:ascii="Arial" w:hAnsi="Arial"/>
          <w:sz w:val="22"/>
          <w:szCs w:val="22"/>
        </w:rPr>
        <w:t>Hitzewallungen und Schweißausbrüchen</w:t>
      </w:r>
      <w:r w:rsidRPr="00A930B3">
        <w:rPr>
          <w:rFonts w:ascii="Arial" w:hAnsi="Arial"/>
          <w:sz w:val="22"/>
          <w:szCs w:val="22"/>
        </w:rPr>
        <w:t xml:space="preserve">, urogenitalen und psychischen Symptomen des klimakterischen Syndroms dar. Zusätzlich ist die MHT hinsichtlich präventiver Wirkung zur Prophylaxe der Osteoporose als Second-Line-Therapie zugelassen. </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 xml:space="preserve">Dauer, Zeitpunkt, Dosierung und Applikation der MHT </w:t>
      </w:r>
    </w:p>
    <w:p w:rsidR="002C6BAF" w:rsidRPr="00A930B3" w:rsidRDefault="002C6BAF" w:rsidP="00BF54CF">
      <w:pPr>
        <w:tabs>
          <w:tab w:val="left" w:pos="900"/>
        </w:tabs>
        <w:spacing w:after="120" w:line="312" w:lineRule="auto"/>
        <w:rPr>
          <w:rFonts w:ascii="Arial" w:hAnsi="Arial"/>
          <w:sz w:val="22"/>
          <w:szCs w:val="22"/>
        </w:rPr>
      </w:pPr>
      <w:r w:rsidRPr="00A930B3">
        <w:rPr>
          <w:rFonts w:ascii="Arial" w:hAnsi="Arial"/>
          <w:sz w:val="22"/>
          <w:szCs w:val="22"/>
        </w:rPr>
        <w:t xml:space="preserve">Prinzipiell orientieren sich Art, Dauer, Dosierung und Darreichungsform der MHT immer an dem Beschwerdebild und der subjektiven Befindlichkeit der Patientin. Aus diesem Grund sollte jede MHT mit einer individuell niedrigen Dosis begonnen und die Dosis entsprechend der Symptomintensität angepasst werden. Aufgrund des Sicherheitsprofils von </w:t>
      </w:r>
      <w:proofErr w:type="spellStart"/>
      <w:r w:rsidRPr="00A930B3">
        <w:rPr>
          <w:rFonts w:ascii="Arial" w:hAnsi="Arial"/>
          <w:sz w:val="22"/>
          <w:szCs w:val="22"/>
        </w:rPr>
        <w:t>Dydrogesteron</w:t>
      </w:r>
      <w:proofErr w:type="spellEnd"/>
      <w:r w:rsidRPr="00A930B3">
        <w:rPr>
          <w:rFonts w:ascii="Arial" w:hAnsi="Arial"/>
          <w:sz w:val="22"/>
          <w:szCs w:val="22"/>
        </w:rPr>
        <w:t xml:space="preserve"> und </w:t>
      </w:r>
      <w:proofErr w:type="spellStart"/>
      <w:r w:rsidRPr="00A930B3">
        <w:rPr>
          <w:rFonts w:ascii="Arial" w:hAnsi="Arial"/>
          <w:sz w:val="22"/>
          <w:szCs w:val="22"/>
        </w:rPr>
        <w:t>mikronisiertem</w:t>
      </w:r>
      <w:proofErr w:type="spellEnd"/>
      <w:r w:rsidRPr="00A930B3">
        <w:rPr>
          <w:rFonts w:ascii="Arial" w:hAnsi="Arial"/>
          <w:sz w:val="22"/>
          <w:szCs w:val="22"/>
        </w:rPr>
        <w:t xml:space="preserve"> Progesteron werden die zwei Gestagene als bevorzugte Gestagene für Frauen mit Gebärmutter von der IMS (International Menopause Society) und der EMAS (European Menopause </w:t>
      </w:r>
      <w:proofErr w:type="spellStart"/>
      <w:r w:rsidRPr="00A930B3">
        <w:rPr>
          <w:rFonts w:ascii="Arial" w:hAnsi="Arial"/>
          <w:sz w:val="22"/>
          <w:szCs w:val="22"/>
        </w:rPr>
        <w:t>and</w:t>
      </w:r>
      <w:proofErr w:type="spellEnd"/>
      <w:r w:rsidRPr="00A930B3">
        <w:rPr>
          <w:rFonts w:ascii="Arial" w:hAnsi="Arial"/>
          <w:sz w:val="22"/>
          <w:szCs w:val="22"/>
        </w:rPr>
        <w:t xml:space="preserve"> </w:t>
      </w:r>
      <w:proofErr w:type="spellStart"/>
      <w:r w:rsidRPr="00A930B3">
        <w:rPr>
          <w:rFonts w:ascii="Arial" w:hAnsi="Arial"/>
          <w:sz w:val="22"/>
          <w:szCs w:val="22"/>
        </w:rPr>
        <w:t>Andropause</w:t>
      </w:r>
      <w:proofErr w:type="spellEnd"/>
      <w:r w:rsidRPr="00A930B3">
        <w:rPr>
          <w:rFonts w:ascii="Arial" w:hAnsi="Arial"/>
          <w:sz w:val="22"/>
          <w:szCs w:val="22"/>
        </w:rPr>
        <w:t xml:space="preserve"> Society) empfohlen. In einer rezenten Studie konnte gezeigt werden, dass eine sog. „ultra-</w:t>
      </w:r>
      <w:proofErr w:type="spellStart"/>
      <w:r w:rsidRPr="00A930B3">
        <w:rPr>
          <w:rFonts w:ascii="Arial" w:hAnsi="Arial"/>
          <w:sz w:val="22"/>
          <w:szCs w:val="22"/>
        </w:rPr>
        <w:t>low</w:t>
      </w:r>
      <w:proofErr w:type="spellEnd"/>
      <w:r w:rsidRPr="00A930B3">
        <w:rPr>
          <w:rFonts w:ascii="Arial" w:hAnsi="Arial"/>
          <w:sz w:val="22"/>
          <w:szCs w:val="22"/>
        </w:rPr>
        <w:t>-</w:t>
      </w:r>
      <w:proofErr w:type="spellStart"/>
      <w:r w:rsidRPr="00A930B3">
        <w:rPr>
          <w:rFonts w:ascii="Arial" w:hAnsi="Arial"/>
          <w:sz w:val="22"/>
          <w:szCs w:val="22"/>
        </w:rPr>
        <w:t>dose</w:t>
      </w:r>
      <w:proofErr w:type="spellEnd"/>
      <w:r w:rsidRPr="00A930B3">
        <w:rPr>
          <w:rFonts w:ascii="Arial" w:hAnsi="Arial"/>
          <w:sz w:val="22"/>
          <w:szCs w:val="22"/>
        </w:rPr>
        <w:t xml:space="preserve">“ MHT, d.h. 0,5mg </w:t>
      </w:r>
      <w:proofErr w:type="spellStart"/>
      <w:r w:rsidRPr="00A930B3">
        <w:rPr>
          <w:rFonts w:ascii="Arial" w:hAnsi="Arial"/>
          <w:sz w:val="22"/>
          <w:szCs w:val="22"/>
        </w:rPr>
        <w:t>Estradiol</w:t>
      </w:r>
      <w:proofErr w:type="spellEnd"/>
      <w:r w:rsidRPr="00A930B3">
        <w:rPr>
          <w:rFonts w:ascii="Arial" w:hAnsi="Arial"/>
          <w:sz w:val="22"/>
          <w:szCs w:val="22"/>
        </w:rPr>
        <w:t xml:space="preserve"> / 2,5mg </w:t>
      </w:r>
      <w:proofErr w:type="spellStart"/>
      <w:r w:rsidRPr="00A930B3">
        <w:rPr>
          <w:rFonts w:ascii="Arial" w:hAnsi="Arial"/>
          <w:sz w:val="22"/>
          <w:szCs w:val="22"/>
        </w:rPr>
        <w:t>Dydrogesteron</w:t>
      </w:r>
      <w:proofErr w:type="spellEnd"/>
      <w:r w:rsidRPr="00A930B3">
        <w:rPr>
          <w:rFonts w:ascii="Arial" w:hAnsi="Arial"/>
          <w:sz w:val="22"/>
          <w:szCs w:val="22"/>
        </w:rPr>
        <w:t xml:space="preserve">, durchaus effektiv in Bezug auf eine Reduktion vasomotorischer Beschwerden und eine Verbesserung der Lebensqualität bei gleichzeitig hoher </w:t>
      </w:r>
      <w:proofErr w:type="spellStart"/>
      <w:r w:rsidRPr="00A930B3">
        <w:rPr>
          <w:rFonts w:ascii="Arial" w:hAnsi="Arial"/>
          <w:sz w:val="22"/>
          <w:szCs w:val="22"/>
        </w:rPr>
        <w:t>Amenorrhoe</w:t>
      </w:r>
      <w:proofErr w:type="spellEnd"/>
      <w:r w:rsidRPr="00A930B3">
        <w:rPr>
          <w:rFonts w:ascii="Arial" w:hAnsi="Arial"/>
          <w:sz w:val="22"/>
          <w:szCs w:val="22"/>
        </w:rPr>
        <w:t xml:space="preserve">-Rate und guter Verträglichkeit ist. </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Wirkung der MHT auf das Herz-Kreislauf-System</w:t>
      </w:r>
    </w:p>
    <w:p w:rsidR="002C6BAF" w:rsidRPr="00A930B3" w:rsidRDefault="002C6BAF" w:rsidP="00EF6589">
      <w:pPr>
        <w:tabs>
          <w:tab w:val="left" w:pos="900"/>
        </w:tabs>
        <w:spacing w:after="120" w:line="312" w:lineRule="auto"/>
        <w:rPr>
          <w:rFonts w:ascii="Arial" w:hAnsi="Arial"/>
          <w:sz w:val="22"/>
          <w:szCs w:val="22"/>
        </w:rPr>
      </w:pPr>
      <w:r w:rsidRPr="00A930B3">
        <w:rPr>
          <w:rFonts w:ascii="Arial" w:hAnsi="Arial"/>
          <w:sz w:val="22"/>
          <w:szCs w:val="22"/>
        </w:rPr>
        <w:t xml:space="preserve">Das sogenannte </w:t>
      </w:r>
      <w:proofErr w:type="spellStart"/>
      <w:r w:rsidRPr="00A930B3">
        <w:rPr>
          <w:rFonts w:ascii="Arial" w:hAnsi="Arial"/>
          <w:sz w:val="22"/>
          <w:szCs w:val="22"/>
        </w:rPr>
        <w:t>Window</w:t>
      </w:r>
      <w:proofErr w:type="spellEnd"/>
      <w:r w:rsidRPr="00A930B3">
        <w:rPr>
          <w:rFonts w:ascii="Arial" w:hAnsi="Arial"/>
          <w:sz w:val="22"/>
          <w:szCs w:val="22"/>
        </w:rPr>
        <w:t xml:space="preserve"> of </w:t>
      </w:r>
      <w:proofErr w:type="spellStart"/>
      <w:r w:rsidRPr="00A930B3">
        <w:rPr>
          <w:rFonts w:ascii="Arial" w:hAnsi="Arial"/>
          <w:sz w:val="22"/>
          <w:szCs w:val="22"/>
        </w:rPr>
        <w:t>Opportunity</w:t>
      </w:r>
      <w:proofErr w:type="spellEnd"/>
      <w:r w:rsidRPr="00A930B3">
        <w:rPr>
          <w:rFonts w:ascii="Arial" w:hAnsi="Arial"/>
          <w:sz w:val="22"/>
          <w:szCs w:val="22"/>
        </w:rPr>
        <w:t xml:space="preserve"> (= </w:t>
      </w:r>
      <w:r w:rsidR="000629B5">
        <w:rPr>
          <w:rFonts w:ascii="Arial" w:hAnsi="Arial"/>
          <w:sz w:val="22"/>
          <w:szCs w:val="22"/>
        </w:rPr>
        <w:t>Beginn der Therapie vor dem 60.</w:t>
      </w:r>
      <w:r w:rsidR="008577FE">
        <w:rPr>
          <w:rFonts w:ascii="Arial" w:hAnsi="Arial"/>
          <w:sz w:val="22"/>
          <w:szCs w:val="22"/>
        </w:rPr>
        <w:t xml:space="preserve"> </w:t>
      </w:r>
      <w:r w:rsidRPr="00A930B3">
        <w:rPr>
          <w:rFonts w:ascii="Arial" w:hAnsi="Arial"/>
          <w:sz w:val="22"/>
          <w:szCs w:val="22"/>
        </w:rPr>
        <w:t xml:space="preserve">Lebensjahr oder in den ersten </w:t>
      </w:r>
      <w:r w:rsidR="00657FFE" w:rsidRPr="00A930B3">
        <w:rPr>
          <w:rFonts w:ascii="Arial" w:hAnsi="Arial"/>
          <w:sz w:val="22"/>
          <w:szCs w:val="22"/>
        </w:rPr>
        <w:t>zehn</w:t>
      </w:r>
      <w:r w:rsidRPr="00A930B3">
        <w:rPr>
          <w:rFonts w:ascii="Arial" w:hAnsi="Arial"/>
          <w:sz w:val="22"/>
          <w:szCs w:val="22"/>
        </w:rPr>
        <w:t xml:space="preserve"> Jahren nach der Menopause) wirkt sich </w:t>
      </w:r>
      <w:proofErr w:type="spellStart"/>
      <w:r w:rsidRPr="00A930B3">
        <w:rPr>
          <w:rFonts w:ascii="Arial" w:hAnsi="Arial"/>
          <w:sz w:val="22"/>
          <w:szCs w:val="22"/>
        </w:rPr>
        <w:t>günstig</w:t>
      </w:r>
      <w:proofErr w:type="spellEnd"/>
      <w:r w:rsidRPr="00A930B3">
        <w:rPr>
          <w:rFonts w:ascii="Arial" w:hAnsi="Arial"/>
          <w:sz w:val="22"/>
          <w:szCs w:val="22"/>
        </w:rPr>
        <w:t xml:space="preserve"> auf die Herz-Kreislauf-Situation aus, sodass die MHT hier potenziell als </w:t>
      </w:r>
      <w:proofErr w:type="spellStart"/>
      <w:r w:rsidRPr="00A930B3">
        <w:rPr>
          <w:rFonts w:ascii="Arial" w:hAnsi="Arial"/>
          <w:sz w:val="22"/>
          <w:szCs w:val="22"/>
        </w:rPr>
        <w:t>kardioprote</w:t>
      </w:r>
      <w:r w:rsidR="00644B47">
        <w:rPr>
          <w:rFonts w:ascii="Arial" w:hAnsi="Arial"/>
          <w:sz w:val="22"/>
          <w:szCs w:val="22"/>
        </w:rPr>
        <w:t>ktiv</w:t>
      </w:r>
      <w:proofErr w:type="spellEnd"/>
      <w:r w:rsidR="00644B47">
        <w:rPr>
          <w:rFonts w:ascii="Arial" w:hAnsi="Arial"/>
          <w:sz w:val="22"/>
          <w:szCs w:val="22"/>
        </w:rPr>
        <w:t xml:space="preserve"> </w:t>
      </w:r>
      <w:r w:rsidRPr="00A930B3">
        <w:rPr>
          <w:rFonts w:ascii="Arial" w:hAnsi="Arial"/>
          <w:sz w:val="22"/>
          <w:szCs w:val="22"/>
        </w:rPr>
        <w:t>einzustufen ist.</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Wirkung der MHT auf den Knochen</w:t>
      </w:r>
    </w:p>
    <w:p w:rsidR="002C6BAF" w:rsidRPr="00A930B3" w:rsidRDefault="002C6BAF" w:rsidP="00EF6589">
      <w:pPr>
        <w:tabs>
          <w:tab w:val="left" w:pos="900"/>
        </w:tabs>
        <w:spacing w:after="120" w:line="312" w:lineRule="auto"/>
        <w:rPr>
          <w:rFonts w:ascii="Arial" w:hAnsi="Arial"/>
          <w:sz w:val="22"/>
          <w:szCs w:val="22"/>
        </w:rPr>
      </w:pPr>
      <w:r w:rsidRPr="00A930B3">
        <w:rPr>
          <w:rFonts w:ascii="Arial" w:hAnsi="Arial"/>
          <w:sz w:val="22"/>
          <w:szCs w:val="22"/>
        </w:rPr>
        <w:t xml:space="preserve">Die MHT ist bezüglich der Prävention von </w:t>
      </w:r>
      <w:proofErr w:type="spellStart"/>
      <w:r w:rsidRPr="00A930B3">
        <w:rPr>
          <w:rFonts w:ascii="Arial" w:hAnsi="Arial"/>
          <w:sz w:val="22"/>
          <w:szCs w:val="22"/>
        </w:rPr>
        <w:t>osteoporotischen</w:t>
      </w:r>
      <w:proofErr w:type="spellEnd"/>
      <w:r w:rsidRPr="00A930B3">
        <w:rPr>
          <w:rFonts w:ascii="Arial" w:hAnsi="Arial"/>
          <w:sz w:val="22"/>
          <w:szCs w:val="22"/>
        </w:rPr>
        <w:t xml:space="preserve"> Frakturen bei Frauen </w:t>
      </w:r>
      <w:r w:rsidR="00644B47">
        <w:rPr>
          <w:rFonts w:ascii="Arial" w:hAnsi="Arial"/>
          <w:sz w:val="22"/>
          <w:szCs w:val="22"/>
        </w:rPr>
        <w:t>mit erhöhtem Risiko vor dem 60.</w:t>
      </w:r>
      <w:r w:rsidRPr="00A930B3">
        <w:rPr>
          <w:rFonts w:ascii="Arial" w:hAnsi="Arial"/>
          <w:sz w:val="22"/>
          <w:szCs w:val="22"/>
        </w:rPr>
        <w:t xml:space="preserve">Lebensjahr oder innerhalb von </w:t>
      </w:r>
      <w:r w:rsidR="00657FFE" w:rsidRPr="00A930B3">
        <w:rPr>
          <w:rFonts w:ascii="Arial" w:hAnsi="Arial"/>
          <w:sz w:val="22"/>
          <w:szCs w:val="22"/>
        </w:rPr>
        <w:t>zehn</w:t>
      </w:r>
      <w:r w:rsidRPr="00A930B3">
        <w:rPr>
          <w:rFonts w:ascii="Arial" w:hAnsi="Arial"/>
          <w:sz w:val="22"/>
          <w:szCs w:val="22"/>
        </w:rPr>
        <w:t xml:space="preserve"> Jahren nach der Menopause effektiv und angemessen.</w:t>
      </w:r>
    </w:p>
    <w:p w:rsidR="002C6BAF" w:rsidRPr="00A930B3" w:rsidRDefault="002C6BAF" w:rsidP="00EF6589">
      <w:pPr>
        <w:widowControl w:val="0"/>
        <w:autoSpaceDE w:val="0"/>
        <w:autoSpaceDN w:val="0"/>
        <w:adjustRightInd w:val="0"/>
        <w:spacing w:after="120" w:line="312" w:lineRule="auto"/>
        <w:rPr>
          <w:rFonts w:ascii="Arial" w:hAnsi="Arial"/>
          <w:sz w:val="22"/>
          <w:szCs w:val="22"/>
        </w:rPr>
      </w:pPr>
      <w:r w:rsidRPr="00A930B3">
        <w:rPr>
          <w:rFonts w:ascii="Arial" w:hAnsi="Arial"/>
          <w:sz w:val="22"/>
          <w:szCs w:val="22"/>
        </w:rPr>
        <w:t>Die unbegründet frühzeitige Beendigung einer MHT führt l</w:t>
      </w:r>
      <w:r w:rsidR="00657FFE" w:rsidRPr="00A930B3">
        <w:rPr>
          <w:rFonts w:ascii="Arial" w:hAnsi="Arial"/>
          <w:sz w:val="22"/>
          <w:szCs w:val="22"/>
        </w:rPr>
        <w:t>ogischerweise nach einer etwa zwei</w:t>
      </w:r>
      <w:r w:rsidRPr="00A930B3">
        <w:rPr>
          <w:rFonts w:ascii="Arial" w:hAnsi="Arial"/>
          <w:sz w:val="22"/>
          <w:szCs w:val="22"/>
        </w:rPr>
        <w:t>jährigen Latenzzeit wieder zu einem Anstieg von Fragilitätsfrakturen inklusive Hüftfrakturen und sollte daher vermieden werden.</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 xml:space="preserve">Wirkung der MHT auf das Mammakarzinom </w:t>
      </w:r>
    </w:p>
    <w:p w:rsidR="002C6BAF" w:rsidRPr="00A930B3" w:rsidRDefault="002C6BAF" w:rsidP="00EF6589">
      <w:pPr>
        <w:widowControl w:val="0"/>
        <w:autoSpaceDE w:val="0"/>
        <w:autoSpaceDN w:val="0"/>
        <w:adjustRightInd w:val="0"/>
        <w:spacing w:after="120" w:line="312" w:lineRule="auto"/>
        <w:rPr>
          <w:rFonts w:ascii="Arial" w:hAnsi="Arial"/>
          <w:sz w:val="22"/>
          <w:szCs w:val="22"/>
        </w:rPr>
      </w:pPr>
      <w:r w:rsidRPr="00A930B3">
        <w:rPr>
          <w:rFonts w:ascii="Arial" w:hAnsi="Arial"/>
          <w:sz w:val="22"/>
          <w:szCs w:val="22"/>
        </w:rPr>
        <w:t>Die derzeitige Datenlage spricht gegen den Einsatz einer MHT, wenn eine Frau bereits an Brustkrebs erkrankt ist oder war. Es gibt jedoch keinen Beweis, dass eine MHT kausal Brustkrebs auslösen könnte. Das mit MHT assoziierte Brustkrebsrisiko ist ein komplexes Thema und hängt in erster Linie von individuellen Risikofaktoren und dem Lebensstil ab</w:t>
      </w:r>
      <w:r w:rsidR="00657FFE" w:rsidRPr="00A930B3">
        <w:rPr>
          <w:rFonts w:ascii="Arial" w:hAnsi="Arial"/>
          <w:sz w:val="22"/>
          <w:szCs w:val="22"/>
        </w:rPr>
        <w:t>. Übermäßiger Alkoholgenuss (mehr als</w:t>
      </w:r>
      <w:r w:rsidRPr="00A930B3">
        <w:rPr>
          <w:rFonts w:ascii="Arial" w:hAnsi="Arial"/>
          <w:sz w:val="22"/>
          <w:szCs w:val="22"/>
        </w:rPr>
        <w:t xml:space="preserve"> </w:t>
      </w:r>
      <w:r w:rsidR="009A5891" w:rsidRPr="00A930B3">
        <w:rPr>
          <w:rFonts w:ascii="Arial" w:hAnsi="Arial"/>
          <w:sz w:val="22"/>
          <w:szCs w:val="22"/>
        </w:rPr>
        <w:t xml:space="preserve">zwei </w:t>
      </w:r>
      <w:r w:rsidRPr="00A930B3">
        <w:rPr>
          <w:rFonts w:ascii="Arial" w:hAnsi="Arial"/>
          <w:sz w:val="22"/>
          <w:szCs w:val="22"/>
        </w:rPr>
        <w:t>Gläser pro Tag) und mangelnde körperliche Betätigung können zu einem vielfach erhöhten Brustkrebsrisiko führen, während die absolute Risikoerhöhung durch eine MHT als gering einzustufen ist.</w:t>
      </w:r>
    </w:p>
    <w:p w:rsidR="002C6BAF" w:rsidRPr="00A930B3" w:rsidRDefault="002C6BAF" w:rsidP="00BB0DB7">
      <w:pPr>
        <w:widowControl w:val="0"/>
        <w:autoSpaceDE w:val="0"/>
        <w:autoSpaceDN w:val="0"/>
        <w:adjustRightInd w:val="0"/>
        <w:spacing w:after="120" w:line="312" w:lineRule="auto"/>
        <w:rPr>
          <w:rFonts w:ascii="Arial" w:hAnsi="Arial"/>
          <w:sz w:val="22"/>
          <w:szCs w:val="22"/>
        </w:rPr>
      </w:pPr>
      <w:r w:rsidRPr="00A930B3">
        <w:rPr>
          <w:rFonts w:ascii="Arial" w:hAnsi="Arial"/>
          <w:sz w:val="22"/>
          <w:szCs w:val="22"/>
        </w:rPr>
        <w:t xml:space="preserve">Die Wahl des eingesetzten Gestagens sowie die Anwendungsdauer sind wichtige Einflussfaktoren, während es zwischen oraler und transdermaler Applikation keinen Unterschied hinsichtlich </w:t>
      </w:r>
      <w:r w:rsidR="00BB0DB7" w:rsidRPr="00A930B3">
        <w:rPr>
          <w:rFonts w:ascii="Arial" w:hAnsi="Arial"/>
          <w:sz w:val="22"/>
          <w:szCs w:val="22"/>
        </w:rPr>
        <w:t>de</w:t>
      </w:r>
      <w:r w:rsidR="00644B47">
        <w:rPr>
          <w:rFonts w:ascii="Arial" w:hAnsi="Arial"/>
          <w:sz w:val="22"/>
          <w:szCs w:val="22"/>
        </w:rPr>
        <w:t xml:space="preserve">s </w:t>
      </w:r>
      <w:r w:rsidR="00BB0DB7" w:rsidRPr="00A930B3">
        <w:rPr>
          <w:rFonts w:ascii="Arial" w:hAnsi="Arial"/>
          <w:sz w:val="22"/>
          <w:szCs w:val="22"/>
        </w:rPr>
        <w:t>Brustkrebsrisiko</w:t>
      </w:r>
      <w:r w:rsidR="00644B47">
        <w:rPr>
          <w:rFonts w:ascii="Arial" w:hAnsi="Arial"/>
          <w:sz w:val="22"/>
          <w:szCs w:val="22"/>
        </w:rPr>
        <w:t>s</w:t>
      </w:r>
      <w:r w:rsidR="00BB0DB7" w:rsidRPr="00A930B3">
        <w:rPr>
          <w:rFonts w:ascii="Arial" w:hAnsi="Arial"/>
          <w:sz w:val="22"/>
          <w:szCs w:val="22"/>
        </w:rPr>
        <w:t xml:space="preserve"> </w:t>
      </w:r>
      <w:r w:rsidRPr="00A930B3">
        <w:rPr>
          <w:rFonts w:ascii="Arial" w:hAnsi="Arial"/>
          <w:sz w:val="22"/>
          <w:szCs w:val="22"/>
        </w:rPr>
        <w:t xml:space="preserve">zu geben scheint. Eine kombinierte MHT kann das Brustkrebsrisiko unter Umständen erhöhen, wobei </w:t>
      </w:r>
      <w:proofErr w:type="spellStart"/>
      <w:r w:rsidRPr="00A930B3">
        <w:rPr>
          <w:rFonts w:ascii="Arial" w:hAnsi="Arial"/>
          <w:sz w:val="22"/>
          <w:szCs w:val="22"/>
        </w:rPr>
        <w:t>Dydrogesteron</w:t>
      </w:r>
      <w:proofErr w:type="spellEnd"/>
      <w:r w:rsidRPr="00A930B3">
        <w:rPr>
          <w:rFonts w:ascii="Arial" w:hAnsi="Arial"/>
          <w:sz w:val="22"/>
          <w:szCs w:val="22"/>
        </w:rPr>
        <w:t xml:space="preserve"> und </w:t>
      </w:r>
      <w:proofErr w:type="spellStart"/>
      <w:r w:rsidRPr="00A930B3">
        <w:rPr>
          <w:rFonts w:ascii="Arial" w:hAnsi="Arial"/>
          <w:sz w:val="22"/>
          <w:szCs w:val="22"/>
        </w:rPr>
        <w:t>mikronisiertes</w:t>
      </w:r>
      <w:proofErr w:type="spellEnd"/>
      <w:r w:rsidRPr="00A930B3">
        <w:rPr>
          <w:rFonts w:ascii="Arial" w:hAnsi="Arial"/>
          <w:sz w:val="22"/>
          <w:szCs w:val="22"/>
        </w:rPr>
        <w:t xml:space="preserve"> Progesteron mit einem niedrigeren oder keinem erhöhten Risiko verbunden sein dürften. </w:t>
      </w:r>
    </w:p>
    <w:p w:rsidR="002C6BAF" w:rsidRPr="00A930B3" w:rsidRDefault="002C6BAF" w:rsidP="00EF6589">
      <w:pPr>
        <w:widowControl w:val="0"/>
        <w:autoSpaceDE w:val="0"/>
        <w:autoSpaceDN w:val="0"/>
        <w:adjustRightInd w:val="0"/>
        <w:spacing w:after="120" w:line="312" w:lineRule="auto"/>
        <w:rPr>
          <w:rFonts w:ascii="Arial" w:hAnsi="Arial"/>
          <w:sz w:val="22"/>
          <w:szCs w:val="22"/>
        </w:rPr>
      </w:pPr>
      <w:r w:rsidRPr="00A930B3">
        <w:rPr>
          <w:rFonts w:ascii="Arial" w:hAnsi="Arial"/>
          <w:sz w:val="22"/>
          <w:szCs w:val="22"/>
        </w:rPr>
        <w:t>Die absolute Risikoerhöhung durch MHT ist gering und das Risiko verringert sich weiter nach Behandlungsende.</w:t>
      </w:r>
    </w:p>
    <w:p w:rsidR="002C6BAF" w:rsidRPr="00A930B3" w:rsidRDefault="002C6BAF" w:rsidP="00EF6589">
      <w:pPr>
        <w:tabs>
          <w:tab w:val="left" w:pos="900"/>
        </w:tabs>
        <w:spacing w:before="200" w:after="120" w:line="312" w:lineRule="auto"/>
        <w:rPr>
          <w:rFonts w:ascii="Arial" w:hAnsi="Arial"/>
          <w:b/>
          <w:sz w:val="22"/>
          <w:szCs w:val="22"/>
        </w:rPr>
      </w:pPr>
      <w:r w:rsidRPr="00A930B3">
        <w:rPr>
          <w:rFonts w:ascii="Arial" w:hAnsi="Arial"/>
          <w:b/>
          <w:sz w:val="22"/>
          <w:szCs w:val="22"/>
        </w:rPr>
        <w:t xml:space="preserve">Resümee </w:t>
      </w:r>
    </w:p>
    <w:p w:rsidR="002C6BAF" w:rsidRPr="00A930B3" w:rsidRDefault="002C6BAF" w:rsidP="00EF6589">
      <w:pPr>
        <w:widowControl w:val="0"/>
        <w:autoSpaceDE w:val="0"/>
        <w:autoSpaceDN w:val="0"/>
        <w:adjustRightInd w:val="0"/>
        <w:spacing w:after="120" w:line="312" w:lineRule="auto"/>
        <w:rPr>
          <w:rFonts w:ascii="Arial" w:hAnsi="Arial"/>
          <w:sz w:val="22"/>
          <w:szCs w:val="22"/>
        </w:rPr>
      </w:pPr>
      <w:r w:rsidRPr="00A930B3">
        <w:rPr>
          <w:rFonts w:ascii="Arial" w:hAnsi="Arial"/>
          <w:sz w:val="22"/>
          <w:szCs w:val="22"/>
        </w:rPr>
        <w:t xml:space="preserve">Die MHT stellt nach wie vor die wirksamste Methode zur Behandlung klimakterischer Beschwerden dar. Sie muss dabei an die individuelle Situation der Patientin angepasst werden: Sie sollte, solange die Beschwerden andauern, mit der individuell </w:t>
      </w:r>
      <w:proofErr w:type="spellStart"/>
      <w:r w:rsidRPr="00A930B3">
        <w:rPr>
          <w:rFonts w:ascii="Arial" w:hAnsi="Arial"/>
          <w:sz w:val="22"/>
          <w:szCs w:val="22"/>
        </w:rPr>
        <w:t>niedrigst</w:t>
      </w:r>
      <w:proofErr w:type="spellEnd"/>
      <w:r w:rsidRPr="00A930B3">
        <w:rPr>
          <w:rFonts w:ascii="Arial" w:hAnsi="Arial"/>
          <w:sz w:val="22"/>
          <w:szCs w:val="22"/>
        </w:rPr>
        <w:t xml:space="preserve"> möglichen Dosis durchgeführt werden.</w:t>
      </w:r>
    </w:p>
    <w:p w:rsidR="002C6BAF" w:rsidRPr="00A930B3" w:rsidRDefault="002C6BAF" w:rsidP="00EF6589">
      <w:pPr>
        <w:widowControl w:val="0"/>
        <w:autoSpaceDE w:val="0"/>
        <w:autoSpaceDN w:val="0"/>
        <w:adjustRightInd w:val="0"/>
        <w:spacing w:after="120" w:line="312" w:lineRule="auto"/>
        <w:rPr>
          <w:rFonts w:ascii="Arial" w:hAnsi="Arial"/>
          <w:sz w:val="22"/>
          <w:szCs w:val="22"/>
        </w:rPr>
      </w:pPr>
      <w:r w:rsidRPr="00A930B3">
        <w:rPr>
          <w:rFonts w:ascii="Arial" w:hAnsi="Arial"/>
          <w:sz w:val="22"/>
          <w:szCs w:val="22"/>
        </w:rPr>
        <w:t xml:space="preserve">Bei strenger Indikationsstellung und Berücksichtigung individueller Faktoren überwiegt der Nutzen der differenzierten MHT mit großer Wahrscheinlichkeit die damit verbundenen Risiken bei symptomatischen Frauen (= Frauen, die unter Wechselbeschwerden leiden), wenn die MHT vor dem 60. Lebensjahr bzw. innerhalb von </w:t>
      </w:r>
      <w:r w:rsidR="00657FFE" w:rsidRPr="00A930B3">
        <w:rPr>
          <w:rFonts w:ascii="Arial" w:hAnsi="Arial"/>
          <w:sz w:val="22"/>
          <w:szCs w:val="22"/>
        </w:rPr>
        <w:t>zehn</w:t>
      </w:r>
      <w:r w:rsidRPr="00A930B3">
        <w:rPr>
          <w:rFonts w:ascii="Arial" w:hAnsi="Arial"/>
          <w:sz w:val="22"/>
          <w:szCs w:val="22"/>
        </w:rPr>
        <w:t xml:space="preserve"> Jahren nach der Menopause (</w:t>
      </w:r>
      <w:r w:rsidR="00657839" w:rsidRPr="00A930B3">
        <w:rPr>
          <w:rFonts w:ascii="Arial" w:hAnsi="Arial"/>
          <w:sz w:val="22"/>
          <w:szCs w:val="22"/>
        </w:rPr>
        <w:t>„</w:t>
      </w:r>
      <w:proofErr w:type="spellStart"/>
      <w:r w:rsidRPr="00A930B3">
        <w:rPr>
          <w:rFonts w:ascii="Arial" w:hAnsi="Arial"/>
          <w:sz w:val="22"/>
          <w:szCs w:val="22"/>
        </w:rPr>
        <w:t>Window</w:t>
      </w:r>
      <w:proofErr w:type="spellEnd"/>
      <w:r w:rsidRPr="00A930B3">
        <w:rPr>
          <w:rFonts w:ascii="Arial" w:hAnsi="Arial"/>
          <w:sz w:val="22"/>
          <w:szCs w:val="22"/>
        </w:rPr>
        <w:t xml:space="preserve"> of </w:t>
      </w:r>
      <w:proofErr w:type="spellStart"/>
      <w:r w:rsidRPr="00A930B3">
        <w:rPr>
          <w:rFonts w:ascii="Arial" w:hAnsi="Arial"/>
          <w:sz w:val="22"/>
          <w:szCs w:val="22"/>
        </w:rPr>
        <w:t>opportunity</w:t>
      </w:r>
      <w:proofErr w:type="spellEnd"/>
      <w:r w:rsidR="00657839" w:rsidRPr="00A930B3">
        <w:rPr>
          <w:rFonts w:ascii="Arial" w:hAnsi="Arial"/>
          <w:sz w:val="22"/>
          <w:szCs w:val="22"/>
        </w:rPr>
        <w:t>“</w:t>
      </w:r>
      <w:r w:rsidRPr="00A930B3">
        <w:rPr>
          <w:rFonts w:ascii="Arial" w:hAnsi="Arial"/>
          <w:sz w:val="22"/>
          <w:szCs w:val="22"/>
        </w:rPr>
        <w:t xml:space="preserve">) zum Einsatz kommt. </w:t>
      </w:r>
    </w:p>
    <w:p w:rsidR="002C6BAF" w:rsidRPr="00A930B3" w:rsidRDefault="002C6BAF" w:rsidP="00EF6589">
      <w:pPr>
        <w:widowControl w:val="0"/>
        <w:autoSpaceDE w:val="0"/>
        <w:autoSpaceDN w:val="0"/>
        <w:adjustRightInd w:val="0"/>
        <w:spacing w:after="120" w:line="312" w:lineRule="auto"/>
        <w:rPr>
          <w:rFonts w:ascii="Arial" w:hAnsi="Arial"/>
        </w:rPr>
      </w:pPr>
    </w:p>
    <w:p w:rsidR="00EF6589" w:rsidRPr="000629B5" w:rsidRDefault="0082272A" w:rsidP="00EF6589">
      <w:pPr>
        <w:autoSpaceDE w:val="0"/>
        <w:autoSpaceDN w:val="0"/>
        <w:rPr>
          <w:rFonts w:asciiTheme="minorBidi" w:hAnsiTheme="minorBidi" w:cstheme="minorBidi"/>
          <w:color w:val="000000"/>
          <w:sz w:val="22"/>
          <w:szCs w:val="22"/>
          <w:u w:val="single"/>
          <w:lang w:val="de-AT"/>
        </w:rPr>
      </w:pPr>
      <w:r w:rsidRPr="000629B5">
        <w:rPr>
          <w:rFonts w:asciiTheme="minorBidi" w:hAnsiTheme="minorBidi" w:cstheme="minorBidi"/>
          <w:color w:val="000000"/>
          <w:sz w:val="22"/>
          <w:szCs w:val="22"/>
          <w:u w:val="single"/>
          <w:lang w:val="de-AT"/>
        </w:rPr>
        <w:t>Rückfragen</w:t>
      </w:r>
    </w:p>
    <w:p w:rsidR="00A72B73" w:rsidRPr="000629B5" w:rsidRDefault="00A72B73" w:rsidP="00EF6589">
      <w:pPr>
        <w:autoSpaceDE w:val="0"/>
        <w:autoSpaceDN w:val="0"/>
        <w:rPr>
          <w:rFonts w:asciiTheme="minorBidi" w:hAnsiTheme="minorBidi" w:cstheme="minorBidi"/>
          <w:color w:val="000000"/>
          <w:sz w:val="22"/>
          <w:szCs w:val="22"/>
          <w:lang w:val="de-AT"/>
        </w:rPr>
      </w:pPr>
    </w:p>
    <w:p w:rsidR="00A72B73" w:rsidRPr="000629B5" w:rsidRDefault="00A72B73" w:rsidP="00A72B73">
      <w:pPr>
        <w:autoSpaceDE w:val="0"/>
        <w:autoSpaceDN w:val="0"/>
        <w:rPr>
          <w:rFonts w:asciiTheme="minorBidi" w:hAnsiTheme="minorBidi" w:cstheme="minorBidi"/>
          <w:b/>
          <w:bCs/>
          <w:sz w:val="22"/>
          <w:szCs w:val="22"/>
          <w:lang w:val="de-AT"/>
        </w:rPr>
      </w:pPr>
      <w:r w:rsidRPr="000629B5">
        <w:rPr>
          <w:rFonts w:asciiTheme="minorBidi" w:hAnsiTheme="minorBidi" w:cstheme="minorBidi"/>
          <w:b/>
          <w:bCs/>
          <w:sz w:val="22"/>
          <w:szCs w:val="22"/>
          <w:lang w:val="de-AT"/>
        </w:rPr>
        <w:t xml:space="preserve">Univ.-Prof. Dr. Hans-Christian Egarter </w:t>
      </w:r>
    </w:p>
    <w:p w:rsidR="00A72B73" w:rsidRPr="00A72B73" w:rsidRDefault="00A72B73" w:rsidP="00A72B73">
      <w:pPr>
        <w:autoSpaceDE w:val="0"/>
        <w:autoSpaceDN w:val="0"/>
        <w:rPr>
          <w:rFonts w:asciiTheme="minorBidi" w:hAnsiTheme="minorBidi" w:cstheme="minorBidi"/>
          <w:sz w:val="22"/>
          <w:szCs w:val="22"/>
          <w:lang w:val="sv-SE"/>
        </w:rPr>
      </w:pPr>
      <w:r w:rsidRPr="00A72B73">
        <w:rPr>
          <w:rFonts w:asciiTheme="minorBidi" w:hAnsiTheme="minorBidi" w:cstheme="minorBidi"/>
          <w:sz w:val="22"/>
          <w:szCs w:val="22"/>
          <w:lang w:val="sv-SE"/>
        </w:rPr>
        <w:t>Univ.-Klinik für Frauenheilkunde, Klinische Abteilung für Gynäkologische Endokrino</w:t>
      </w:r>
      <w:r>
        <w:rPr>
          <w:rFonts w:asciiTheme="minorBidi" w:hAnsiTheme="minorBidi" w:cstheme="minorBidi"/>
          <w:sz w:val="22"/>
          <w:szCs w:val="22"/>
          <w:lang w:val="sv-SE"/>
        </w:rPr>
        <w:t>logie und Reproduktionsmedizin</w:t>
      </w:r>
      <w:r w:rsidR="00644B47">
        <w:rPr>
          <w:rFonts w:asciiTheme="minorBidi" w:hAnsiTheme="minorBidi" w:cstheme="minorBidi"/>
          <w:sz w:val="22"/>
          <w:szCs w:val="22"/>
          <w:lang w:val="sv-SE"/>
        </w:rPr>
        <w:t xml:space="preserve"> </w:t>
      </w:r>
      <w:r w:rsidRPr="00A72B73">
        <w:rPr>
          <w:rFonts w:asciiTheme="minorBidi" w:hAnsiTheme="minorBidi" w:cstheme="minorBidi"/>
          <w:sz w:val="22"/>
          <w:szCs w:val="22"/>
          <w:lang w:val="sv-SE"/>
        </w:rPr>
        <w:t>AKH - Medizinische Universität Wien</w:t>
      </w:r>
    </w:p>
    <w:p w:rsidR="00A72B73" w:rsidRPr="00A72B73" w:rsidRDefault="00A72B73" w:rsidP="00A72B73">
      <w:pPr>
        <w:autoSpaceDE w:val="0"/>
        <w:autoSpaceDN w:val="0"/>
        <w:rPr>
          <w:rFonts w:asciiTheme="minorBidi" w:hAnsiTheme="minorBidi" w:cstheme="minorBidi"/>
          <w:sz w:val="22"/>
          <w:szCs w:val="22"/>
          <w:lang w:val="sv-SE"/>
        </w:rPr>
      </w:pPr>
      <w:r w:rsidRPr="00A72B73">
        <w:rPr>
          <w:rFonts w:asciiTheme="minorBidi" w:hAnsiTheme="minorBidi" w:cstheme="minorBidi"/>
          <w:sz w:val="22"/>
          <w:szCs w:val="22"/>
          <w:lang w:val="sv-SE"/>
        </w:rPr>
        <w:t>Tel. 01/40400/28130</w:t>
      </w:r>
    </w:p>
    <w:p w:rsidR="00A72B73" w:rsidRPr="00A72B73" w:rsidRDefault="00A72B73" w:rsidP="00A72B73">
      <w:pPr>
        <w:autoSpaceDE w:val="0"/>
        <w:autoSpaceDN w:val="0"/>
        <w:rPr>
          <w:rFonts w:asciiTheme="minorBidi" w:hAnsiTheme="minorBidi" w:cstheme="minorBidi"/>
          <w:sz w:val="22"/>
          <w:szCs w:val="22"/>
          <w:lang w:val="sv-SE"/>
        </w:rPr>
      </w:pPr>
      <w:r w:rsidRPr="00A72B73">
        <w:rPr>
          <w:rFonts w:asciiTheme="minorBidi" w:hAnsiTheme="minorBidi" w:cstheme="minorBidi"/>
          <w:sz w:val="22"/>
          <w:szCs w:val="22"/>
          <w:lang w:val="sv-SE"/>
        </w:rPr>
        <w:t xml:space="preserve">E-Mail: </w:t>
      </w:r>
      <w:hyperlink r:id="rId9" w:history="1">
        <w:r w:rsidRPr="00A72B73">
          <w:rPr>
            <w:rStyle w:val="Hyperlink"/>
            <w:rFonts w:asciiTheme="minorBidi" w:hAnsiTheme="minorBidi" w:cstheme="minorBidi"/>
            <w:color w:val="auto"/>
            <w:sz w:val="22"/>
            <w:szCs w:val="22"/>
            <w:lang w:val="sv-SE"/>
          </w:rPr>
          <w:t>christian.egarter@meduniwien.ac.at</w:t>
        </w:r>
      </w:hyperlink>
    </w:p>
    <w:p w:rsidR="00A72B73" w:rsidRPr="00A72B73" w:rsidRDefault="00A72B73" w:rsidP="00EF6589">
      <w:pPr>
        <w:autoSpaceDE w:val="0"/>
        <w:autoSpaceDN w:val="0"/>
        <w:rPr>
          <w:rFonts w:asciiTheme="minorBidi" w:hAnsiTheme="minorBidi" w:cstheme="minorBidi"/>
          <w:color w:val="000000"/>
          <w:sz w:val="22"/>
          <w:szCs w:val="22"/>
          <w:lang w:val="sv-SE"/>
        </w:rPr>
      </w:pPr>
    </w:p>
    <w:p w:rsidR="0082272A" w:rsidRPr="00A930B3" w:rsidRDefault="0082272A" w:rsidP="00EF6589">
      <w:pPr>
        <w:autoSpaceDE w:val="0"/>
        <w:autoSpaceDN w:val="0"/>
        <w:rPr>
          <w:rFonts w:asciiTheme="minorBidi" w:hAnsiTheme="minorBidi" w:cstheme="minorBidi"/>
          <w:sz w:val="22"/>
          <w:szCs w:val="22"/>
          <w:lang w:val="en-US"/>
        </w:rPr>
      </w:pPr>
      <w:r w:rsidRPr="00A930B3">
        <w:rPr>
          <w:rFonts w:asciiTheme="minorBidi" w:hAnsiTheme="minorBidi" w:cstheme="minorBidi"/>
          <w:b/>
          <w:bCs/>
          <w:sz w:val="22"/>
          <w:szCs w:val="22"/>
          <w:lang w:val="en-US"/>
        </w:rPr>
        <w:t>Urban &amp; Schenk medical media consulting</w:t>
      </w:r>
    </w:p>
    <w:p w:rsidR="00426A9E" w:rsidRPr="00A930B3" w:rsidRDefault="0082272A" w:rsidP="00426A9E">
      <w:pPr>
        <w:autoSpaceDE w:val="0"/>
        <w:autoSpaceDN w:val="0"/>
        <w:rPr>
          <w:rFonts w:asciiTheme="minorBidi" w:hAnsiTheme="minorBidi" w:cstheme="minorBidi"/>
          <w:sz w:val="22"/>
          <w:szCs w:val="22"/>
          <w:lang w:val="en-US"/>
        </w:rPr>
      </w:pPr>
      <w:r w:rsidRPr="00A930B3">
        <w:rPr>
          <w:rFonts w:asciiTheme="minorBidi" w:hAnsiTheme="minorBidi" w:cstheme="minorBidi"/>
          <w:sz w:val="22"/>
          <w:szCs w:val="22"/>
          <w:lang w:val="sv-SE"/>
        </w:rPr>
        <w:t xml:space="preserve">Barbara Urban: 0664/41 69 4 59, </w:t>
      </w:r>
      <w:hyperlink r:id="rId10" w:history="1">
        <w:r w:rsidR="00426A9E" w:rsidRPr="00A930B3">
          <w:rPr>
            <w:rStyle w:val="Hyperlink"/>
            <w:rFonts w:asciiTheme="minorBidi" w:hAnsiTheme="minorBidi" w:cstheme="minorBidi"/>
            <w:color w:val="auto"/>
            <w:sz w:val="22"/>
            <w:szCs w:val="22"/>
            <w:lang w:val="en-US"/>
          </w:rPr>
          <w:t>barbara.uban@medical-media-consulting.at</w:t>
        </w:r>
      </w:hyperlink>
    </w:p>
    <w:p w:rsidR="0082272A" w:rsidRPr="00426A9E" w:rsidRDefault="00C467C0" w:rsidP="00426A9E">
      <w:pPr>
        <w:autoSpaceDE w:val="0"/>
        <w:autoSpaceDN w:val="0"/>
        <w:rPr>
          <w:rFonts w:asciiTheme="minorBidi" w:hAnsiTheme="minorBidi" w:cstheme="minorBidi"/>
          <w:sz w:val="22"/>
          <w:szCs w:val="22"/>
        </w:rPr>
      </w:pPr>
      <w:hyperlink r:id="rId11" w:history="1"/>
      <w:r w:rsidR="0082272A" w:rsidRPr="00A930B3">
        <w:rPr>
          <w:rFonts w:asciiTheme="minorBidi" w:hAnsiTheme="minorBidi" w:cstheme="minorBidi"/>
          <w:sz w:val="22"/>
          <w:szCs w:val="22"/>
          <w:lang w:val="de-AT"/>
        </w:rPr>
        <w:t xml:space="preserve">Mag. Harald Schenk: 0664/160 75 99, </w:t>
      </w:r>
      <w:hyperlink r:id="rId12" w:history="1">
        <w:r w:rsidR="0082272A" w:rsidRPr="00A930B3">
          <w:rPr>
            <w:rStyle w:val="Hyperlink"/>
            <w:rFonts w:asciiTheme="minorBidi" w:hAnsiTheme="minorBidi" w:cstheme="minorBidi"/>
            <w:color w:val="auto"/>
            <w:sz w:val="22"/>
            <w:szCs w:val="22"/>
            <w:lang w:val="de-AT"/>
          </w:rPr>
          <w:t>harald.schenk@medical-media-consulting.at</w:t>
        </w:r>
      </w:hyperlink>
    </w:p>
    <w:p w:rsidR="00174D27" w:rsidRPr="00442EEE" w:rsidRDefault="00174D27" w:rsidP="00174D27">
      <w:pPr>
        <w:spacing w:after="120" w:line="312" w:lineRule="auto"/>
        <w:rPr>
          <w:rFonts w:asciiTheme="minorBidi" w:hAnsiTheme="minorBidi" w:cstheme="minorBidi"/>
          <w:sz w:val="16"/>
          <w:szCs w:val="16"/>
        </w:rPr>
      </w:pPr>
    </w:p>
    <w:p w:rsidR="00BB1A98" w:rsidRPr="006055CB" w:rsidRDefault="006055CB" w:rsidP="00EF6589">
      <w:pPr>
        <w:spacing w:after="120" w:line="312" w:lineRule="auto"/>
        <w:rPr>
          <w:rFonts w:asciiTheme="minorBidi" w:hAnsiTheme="minorBidi" w:cstheme="minorBidi"/>
          <w:sz w:val="16"/>
          <w:szCs w:val="16"/>
          <w:lang w:val="sv-SE"/>
        </w:rPr>
      </w:pPr>
      <w:r>
        <w:rPr>
          <w:rFonts w:asciiTheme="minorBidi" w:hAnsiTheme="minorBidi" w:cstheme="minorBidi"/>
          <w:sz w:val="16"/>
          <w:szCs w:val="16"/>
          <w:lang w:val="sv-SE"/>
        </w:rPr>
        <w:t xml:space="preserve"> </w:t>
      </w:r>
      <w:r w:rsidRPr="006055CB">
        <w:rPr>
          <w:rFonts w:asciiTheme="minorBidi" w:hAnsiTheme="minorBidi" w:cstheme="minorBidi"/>
          <w:sz w:val="16"/>
          <w:szCs w:val="16"/>
          <w:lang w:val="sv-SE"/>
        </w:rPr>
        <w:t>1205411-(00)-17032016</w:t>
      </w:r>
    </w:p>
    <w:sectPr w:rsidR="00BB1A98" w:rsidRPr="006055CB" w:rsidSect="002D4F03">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52" w:rsidRDefault="009E1E52" w:rsidP="009A0833">
      <w:r>
        <w:separator/>
      </w:r>
    </w:p>
  </w:endnote>
  <w:endnote w:type="continuationSeparator" w:id="0">
    <w:p w:rsidR="009E1E52" w:rsidRDefault="009E1E52" w:rsidP="009A0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6605"/>
      <w:docPartObj>
        <w:docPartGallery w:val="Page Numbers (Bottom of Page)"/>
        <w:docPartUnique/>
      </w:docPartObj>
    </w:sdtPr>
    <w:sdtContent>
      <w:p w:rsidR="00D9274E" w:rsidRDefault="00C467C0">
        <w:pPr>
          <w:pStyle w:val="Fuzeile"/>
          <w:jc w:val="right"/>
        </w:pPr>
        <w:r w:rsidRPr="001E28F4">
          <w:rPr>
            <w:rFonts w:asciiTheme="minorBidi" w:hAnsiTheme="minorBidi" w:cstheme="minorBidi"/>
            <w:sz w:val="22"/>
            <w:szCs w:val="22"/>
          </w:rPr>
          <w:fldChar w:fldCharType="begin"/>
        </w:r>
        <w:r w:rsidR="00D9274E" w:rsidRPr="001E28F4">
          <w:rPr>
            <w:rFonts w:asciiTheme="minorBidi" w:hAnsiTheme="minorBidi" w:cstheme="minorBidi"/>
            <w:sz w:val="22"/>
            <w:szCs w:val="22"/>
          </w:rPr>
          <w:instrText xml:space="preserve"> PAGE   \* MERGEFORMAT </w:instrText>
        </w:r>
        <w:r w:rsidRPr="001E28F4">
          <w:rPr>
            <w:rFonts w:asciiTheme="minorBidi" w:hAnsiTheme="minorBidi" w:cstheme="minorBidi"/>
            <w:sz w:val="22"/>
            <w:szCs w:val="22"/>
          </w:rPr>
          <w:fldChar w:fldCharType="separate"/>
        </w:r>
        <w:r w:rsidR="00174D27">
          <w:rPr>
            <w:rFonts w:asciiTheme="minorBidi" w:hAnsiTheme="minorBidi" w:cstheme="minorBidi"/>
            <w:noProof/>
            <w:sz w:val="22"/>
            <w:szCs w:val="22"/>
          </w:rPr>
          <w:t>3</w:t>
        </w:r>
        <w:r w:rsidRPr="001E28F4">
          <w:rPr>
            <w:rFonts w:asciiTheme="minorBidi" w:hAnsiTheme="minorBidi" w:cstheme="minorBidi"/>
            <w:sz w:val="22"/>
            <w:szCs w:val="22"/>
          </w:rPr>
          <w:fldChar w:fldCharType="end"/>
        </w:r>
      </w:p>
    </w:sdtContent>
  </w:sdt>
  <w:p w:rsidR="00D9274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Pr="008B2D3E" w:rsidRDefault="00D9274E"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52" w:rsidRDefault="009E1E52" w:rsidP="009A0833">
      <w:r>
        <w:separator/>
      </w:r>
    </w:p>
  </w:footnote>
  <w:footnote w:type="continuationSeparator" w:id="0">
    <w:p w:rsidR="009E1E52" w:rsidRDefault="009E1E52" w:rsidP="009A0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Default="00D9274E" w:rsidP="00B22DE4">
    <w:pPr>
      <w:pStyle w:val="Kopfzeile"/>
      <w:tabs>
        <w:tab w:val="clear" w:pos="9072"/>
        <w:tab w:val="right" w:pos="9498"/>
      </w:tabs>
    </w:pPr>
    <w:r>
      <w:tab/>
    </w:r>
  </w:p>
  <w:p w:rsidR="00D9274E" w:rsidRDefault="00D9274E">
    <w:pPr>
      <w:pStyle w:val="Kopfzeile"/>
    </w:pPr>
  </w:p>
  <w:p w:rsidR="00D9274E" w:rsidRDefault="00D9274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4E" w:rsidRDefault="00D9274E" w:rsidP="00CB2B9B">
    <w:pPr>
      <w:pStyle w:val="Kopfzeile"/>
      <w:tabs>
        <w:tab w:val="clear" w:pos="4536"/>
        <w:tab w:val="clear" w:pos="9072"/>
        <w:tab w:val="left" w:pos="4111"/>
        <w:tab w:val="right" w:pos="9498"/>
      </w:tabs>
      <w:ind w:left="-425"/>
    </w:pPr>
    <w:r w:rsidRPr="008B697A">
      <w:rPr>
        <w:noProof/>
        <w:lang w:val="de-AT" w:eastAsia="de-AT"/>
      </w:rPr>
      <w:drawing>
        <wp:inline distT="0" distB="0" distL="0" distR="0">
          <wp:extent cx="1299403" cy="109403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9403" cy="1094032"/>
                  </a:xfrm>
                  <a:prstGeom prst="rect">
                    <a:avLst/>
                  </a:prstGeom>
                  <a:noFill/>
                  <a:ln w="9525">
                    <a:noFill/>
                    <a:miter lim="800000"/>
                    <a:headEnd/>
                    <a:tailEnd/>
                  </a:ln>
                </pic:spPr>
              </pic:pic>
            </a:graphicData>
          </a:graphic>
        </wp:inline>
      </w:drawing>
    </w:r>
    <w:r w:rsidR="00CB2B9B">
      <w:rPr>
        <w:noProof/>
        <w:lang w:val="de-AT" w:eastAsia="de-AT"/>
      </w:rPr>
      <w:tab/>
    </w:r>
    <w:r w:rsidRPr="009A0833">
      <w:rPr>
        <w:noProof/>
        <w:lang w:val="de-AT" w:eastAsia="de-AT"/>
      </w:rPr>
      <w:drawing>
        <wp:inline distT="0" distB="0" distL="0" distR="0">
          <wp:extent cx="3089910" cy="444012"/>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9910" cy="444012"/>
                  </a:xfrm>
                  <a:prstGeom prst="rect">
                    <a:avLst/>
                  </a:prstGeom>
                  <a:noFill/>
                  <a:ln>
                    <a:noFill/>
                  </a:ln>
                </pic:spPr>
              </pic:pic>
            </a:graphicData>
          </a:graphic>
        </wp:inline>
      </w:drawing>
    </w:r>
    <w:r>
      <w:tab/>
    </w:r>
  </w:p>
  <w:p w:rsidR="00D9274E" w:rsidRDefault="00D9274E" w:rsidP="002D4F0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EA2FEC"/>
    <w:rsid w:val="000058CF"/>
    <w:rsid w:val="00005AAF"/>
    <w:rsid w:val="00006580"/>
    <w:rsid w:val="00007AEA"/>
    <w:rsid w:val="000127BA"/>
    <w:rsid w:val="00012A8C"/>
    <w:rsid w:val="0001309F"/>
    <w:rsid w:val="00013A7A"/>
    <w:rsid w:val="00014FEC"/>
    <w:rsid w:val="00015D2A"/>
    <w:rsid w:val="00020008"/>
    <w:rsid w:val="00020009"/>
    <w:rsid w:val="0002189F"/>
    <w:rsid w:val="000219A9"/>
    <w:rsid w:val="00024B3E"/>
    <w:rsid w:val="00025735"/>
    <w:rsid w:val="000263D8"/>
    <w:rsid w:val="000269F1"/>
    <w:rsid w:val="00031AC1"/>
    <w:rsid w:val="000328DB"/>
    <w:rsid w:val="00033643"/>
    <w:rsid w:val="00034A18"/>
    <w:rsid w:val="00037364"/>
    <w:rsid w:val="0004004A"/>
    <w:rsid w:val="00042B2D"/>
    <w:rsid w:val="00044950"/>
    <w:rsid w:val="000478D8"/>
    <w:rsid w:val="000504A8"/>
    <w:rsid w:val="00050DA8"/>
    <w:rsid w:val="00050F83"/>
    <w:rsid w:val="00054044"/>
    <w:rsid w:val="0005508B"/>
    <w:rsid w:val="0005776E"/>
    <w:rsid w:val="00057802"/>
    <w:rsid w:val="0006093A"/>
    <w:rsid w:val="00060FBE"/>
    <w:rsid w:val="00060FE3"/>
    <w:rsid w:val="00061CDD"/>
    <w:rsid w:val="000629B5"/>
    <w:rsid w:val="00063720"/>
    <w:rsid w:val="00063B04"/>
    <w:rsid w:val="0006413F"/>
    <w:rsid w:val="00064AF0"/>
    <w:rsid w:val="000654DB"/>
    <w:rsid w:val="00065B6C"/>
    <w:rsid w:val="000667AA"/>
    <w:rsid w:val="00066BC9"/>
    <w:rsid w:val="000677A6"/>
    <w:rsid w:val="000704A7"/>
    <w:rsid w:val="000725EC"/>
    <w:rsid w:val="000728A3"/>
    <w:rsid w:val="00072995"/>
    <w:rsid w:val="00073822"/>
    <w:rsid w:val="00075185"/>
    <w:rsid w:val="00075F4D"/>
    <w:rsid w:val="0007704D"/>
    <w:rsid w:val="00077F5C"/>
    <w:rsid w:val="00081539"/>
    <w:rsid w:val="00081CCE"/>
    <w:rsid w:val="00082FE1"/>
    <w:rsid w:val="00083452"/>
    <w:rsid w:val="00083F66"/>
    <w:rsid w:val="00084379"/>
    <w:rsid w:val="00084838"/>
    <w:rsid w:val="00084F68"/>
    <w:rsid w:val="00085026"/>
    <w:rsid w:val="00086415"/>
    <w:rsid w:val="0008791D"/>
    <w:rsid w:val="000910FE"/>
    <w:rsid w:val="000912E6"/>
    <w:rsid w:val="0009371D"/>
    <w:rsid w:val="000A1ABC"/>
    <w:rsid w:val="000A4238"/>
    <w:rsid w:val="000A58B3"/>
    <w:rsid w:val="000A597A"/>
    <w:rsid w:val="000A6166"/>
    <w:rsid w:val="000A63B5"/>
    <w:rsid w:val="000A760C"/>
    <w:rsid w:val="000A7D74"/>
    <w:rsid w:val="000B0461"/>
    <w:rsid w:val="000B083F"/>
    <w:rsid w:val="000B3580"/>
    <w:rsid w:val="000B5835"/>
    <w:rsid w:val="000B7A60"/>
    <w:rsid w:val="000C05C0"/>
    <w:rsid w:val="000C0951"/>
    <w:rsid w:val="000C4CF3"/>
    <w:rsid w:val="000C56AC"/>
    <w:rsid w:val="000C5AAA"/>
    <w:rsid w:val="000C657A"/>
    <w:rsid w:val="000C6738"/>
    <w:rsid w:val="000C715A"/>
    <w:rsid w:val="000C79E2"/>
    <w:rsid w:val="000D0B4B"/>
    <w:rsid w:val="000D284E"/>
    <w:rsid w:val="000D2C35"/>
    <w:rsid w:val="000D3DE1"/>
    <w:rsid w:val="000D3F3D"/>
    <w:rsid w:val="000D427F"/>
    <w:rsid w:val="000D4DD9"/>
    <w:rsid w:val="000D66E0"/>
    <w:rsid w:val="000D7F12"/>
    <w:rsid w:val="000E1416"/>
    <w:rsid w:val="000E2F7F"/>
    <w:rsid w:val="000E3774"/>
    <w:rsid w:val="000E45B6"/>
    <w:rsid w:val="000F39BB"/>
    <w:rsid w:val="0010052E"/>
    <w:rsid w:val="001025B4"/>
    <w:rsid w:val="00103DD2"/>
    <w:rsid w:val="00104AAC"/>
    <w:rsid w:val="0011115E"/>
    <w:rsid w:val="00112019"/>
    <w:rsid w:val="0011591C"/>
    <w:rsid w:val="001161AE"/>
    <w:rsid w:val="00116230"/>
    <w:rsid w:val="00120819"/>
    <w:rsid w:val="00120B3E"/>
    <w:rsid w:val="0012102A"/>
    <w:rsid w:val="00121904"/>
    <w:rsid w:val="00121996"/>
    <w:rsid w:val="00121B20"/>
    <w:rsid w:val="00121C2C"/>
    <w:rsid w:val="00121DFD"/>
    <w:rsid w:val="00132B39"/>
    <w:rsid w:val="001334FB"/>
    <w:rsid w:val="00134B58"/>
    <w:rsid w:val="001366BC"/>
    <w:rsid w:val="00137C2F"/>
    <w:rsid w:val="001421A6"/>
    <w:rsid w:val="00142719"/>
    <w:rsid w:val="001431F0"/>
    <w:rsid w:val="00143D8D"/>
    <w:rsid w:val="001459CB"/>
    <w:rsid w:val="00147278"/>
    <w:rsid w:val="00147FBE"/>
    <w:rsid w:val="00151F22"/>
    <w:rsid w:val="00152B85"/>
    <w:rsid w:val="001536BF"/>
    <w:rsid w:val="00153B9E"/>
    <w:rsid w:val="00161353"/>
    <w:rsid w:val="00162846"/>
    <w:rsid w:val="001638D8"/>
    <w:rsid w:val="00170D83"/>
    <w:rsid w:val="00174D27"/>
    <w:rsid w:val="00176230"/>
    <w:rsid w:val="0017689A"/>
    <w:rsid w:val="00177D60"/>
    <w:rsid w:val="001805E4"/>
    <w:rsid w:val="00182035"/>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0151"/>
    <w:rsid w:val="001B1452"/>
    <w:rsid w:val="001B4258"/>
    <w:rsid w:val="001B6C42"/>
    <w:rsid w:val="001B7B3D"/>
    <w:rsid w:val="001C1192"/>
    <w:rsid w:val="001C160D"/>
    <w:rsid w:val="001C27FF"/>
    <w:rsid w:val="001C4EC5"/>
    <w:rsid w:val="001C53D4"/>
    <w:rsid w:val="001C7D49"/>
    <w:rsid w:val="001D0FAF"/>
    <w:rsid w:val="001D25AD"/>
    <w:rsid w:val="001D4C04"/>
    <w:rsid w:val="001D4D31"/>
    <w:rsid w:val="001D5998"/>
    <w:rsid w:val="001D5B2B"/>
    <w:rsid w:val="001D5B31"/>
    <w:rsid w:val="001D72FF"/>
    <w:rsid w:val="001D7DC5"/>
    <w:rsid w:val="001D7E15"/>
    <w:rsid w:val="001E1CA9"/>
    <w:rsid w:val="001E27C9"/>
    <w:rsid w:val="001E28F4"/>
    <w:rsid w:val="001E6C00"/>
    <w:rsid w:val="001E74B4"/>
    <w:rsid w:val="001E76CB"/>
    <w:rsid w:val="001F28C5"/>
    <w:rsid w:val="001F2CF1"/>
    <w:rsid w:val="001F6752"/>
    <w:rsid w:val="001F7EA2"/>
    <w:rsid w:val="0020104F"/>
    <w:rsid w:val="00202C98"/>
    <w:rsid w:val="00203A55"/>
    <w:rsid w:val="002040E7"/>
    <w:rsid w:val="002044C0"/>
    <w:rsid w:val="00204B1D"/>
    <w:rsid w:val="00206EAE"/>
    <w:rsid w:val="00207893"/>
    <w:rsid w:val="00211BCC"/>
    <w:rsid w:val="0021443C"/>
    <w:rsid w:val="002149C6"/>
    <w:rsid w:val="00220CAB"/>
    <w:rsid w:val="00221EBF"/>
    <w:rsid w:val="00222EB8"/>
    <w:rsid w:val="002236FB"/>
    <w:rsid w:val="00225952"/>
    <w:rsid w:val="00230CE1"/>
    <w:rsid w:val="00235196"/>
    <w:rsid w:val="00237BED"/>
    <w:rsid w:val="00242B8B"/>
    <w:rsid w:val="0024342C"/>
    <w:rsid w:val="002504AF"/>
    <w:rsid w:val="002517D1"/>
    <w:rsid w:val="00252900"/>
    <w:rsid w:val="00252A7E"/>
    <w:rsid w:val="00253561"/>
    <w:rsid w:val="002544A8"/>
    <w:rsid w:val="00257B65"/>
    <w:rsid w:val="00260281"/>
    <w:rsid w:val="002608D9"/>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347E"/>
    <w:rsid w:val="00284B42"/>
    <w:rsid w:val="00290752"/>
    <w:rsid w:val="00290C5B"/>
    <w:rsid w:val="002913B8"/>
    <w:rsid w:val="002952C4"/>
    <w:rsid w:val="00296ABA"/>
    <w:rsid w:val="00296CEA"/>
    <w:rsid w:val="00297E83"/>
    <w:rsid w:val="002A0BF3"/>
    <w:rsid w:val="002A221C"/>
    <w:rsid w:val="002A2995"/>
    <w:rsid w:val="002A3AEC"/>
    <w:rsid w:val="002A4201"/>
    <w:rsid w:val="002A510C"/>
    <w:rsid w:val="002A5880"/>
    <w:rsid w:val="002A62D3"/>
    <w:rsid w:val="002A6DA3"/>
    <w:rsid w:val="002A6EEA"/>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6BAF"/>
    <w:rsid w:val="002C73D9"/>
    <w:rsid w:val="002C7DDE"/>
    <w:rsid w:val="002D2894"/>
    <w:rsid w:val="002D3F15"/>
    <w:rsid w:val="002D4F03"/>
    <w:rsid w:val="002D734E"/>
    <w:rsid w:val="002E0D52"/>
    <w:rsid w:val="002E2179"/>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712"/>
    <w:rsid w:val="00302FC9"/>
    <w:rsid w:val="00303936"/>
    <w:rsid w:val="00304A81"/>
    <w:rsid w:val="003065B6"/>
    <w:rsid w:val="003103FC"/>
    <w:rsid w:val="003117C3"/>
    <w:rsid w:val="00313172"/>
    <w:rsid w:val="00314BA2"/>
    <w:rsid w:val="00316999"/>
    <w:rsid w:val="00317E52"/>
    <w:rsid w:val="003200D7"/>
    <w:rsid w:val="00320598"/>
    <w:rsid w:val="003220D8"/>
    <w:rsid w:val="003228DC"/>
    <w:rsid w:val="003249F9"/>
    <w:rsid w:val="00325BAB"/>
    <w:rsid w:val="00333959"/>
    <w:rsid w:val="0033453D"/>
    <w:rsid w:val="00335208"/>
    <w:rsid w:val="0033536F"/>
    <w:rsid w:val="0033747C"/>
    <w:rsid w:val="0034110A"/>
    <w:rsid w:val="00341DCB"/>
    <w:rsid w:val="003424AE"/>
    <w:rsid w:val="00345C1E"/>
    <w:rsid w:val="00345C99"/>
    <w:rsid w:val="003560C3"/>
    <w:rsid w:val="00356112"/>
    <w:rsid w:val="0035675E"/>
    <w:rsid w:val="00360A3C"/>
    <w:rsid w:val="00361736"/>
    <w:rsid w:val="00361F92"/>
    <w:rsid w:val="00362E61"/>
    <w:rsid w:val="003637CF"/>
    <w:rsid w:val="00364B49"/>
    <w:rsid w:val="00367BA5"/>
    <w:rsid w:val="003712CA"/>
    <w:rsid w:val="0037376D"/>
    <w:rsid w:val="00373F03"/>
    <w:rsid w:val="00375385"/>
    <w:rsid w:val="00376347"/>
    <w:rsid w:val="00380886"/>
    <w:rsid w:val="003810AF"/>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EEA"/>
    <w:rsid w:val="003A4221"/>
    <w:rsid w:val="003A4304"/>
    <w:rsid w:val="003A5050"/>
    <w:rsid w:val="003A5FFD"/>
    <w:rsid w:val="003B29CE"/>
    <w:rsid w:val="003B2E1F"/>
    <w:rsid w:val="003B31E3"/>
    <w:rsid w:val="003B42FA"/>
    <w:rsid w:val="003B5921"/>
    <w:rsid w:val="003B63F5"/>
    <w:rsid w:val="003B6659"/>
    <w:rsid w:val="003B6849"/>
    <w:rsid w:val="003B6C88"/>
    <w:rsid w:val="003C0140"/>
    <w:rsid w:val="003C074B"/>
    <w:rsid w:val="003C09F2"/>
    <w:rsid w:val="003C12D8"/>
    <w:rsid w:val="003C4A93"/>
    <w:rsid w:val="003C5AC2"/>
    <w:rsid w:val="003C6570"/>
    <w:rsid w:val="003D01BF"/>
    <w:rsid w:val="003D13F0"/>
    <w:rsid w:val="003D1FCE"/>
    <w:rsid w:val="003D2346"/>
    <w:rsid w:val="003D2623"/>
    <w:rsid w:val="003D2701"/>
    <w:rsid w:val="003D389E"/>
    <w:rsid w:val="003D40C1"/>
    <w:rsid w:val="003D6253"/>
    <w:rsid w:val="003D6559"/>
    <w:rsid w:val="003E05BA"/>
    <w:rsid w:val="003E2A11"/>
    <w:rsid w:val="003E2F95"/>
    <w:rsid w:val="003E4772"/>
    <w:rsid w:val="003E5023"/>
    <w:rsid w:val="003E50BF"/>
    <w:rsid w:val="003E5B8A"/>
    <w:rsid w:val="003E671F"/>
    <w:rsid w:val="003E6E6E"/>
    <w:rsid w:val="003E78E8"/>
    <w:rsid w:val="003F01A3"/>
    <w:rsid w:val="003F0435"/>
    <w:rsid w:val="003F1190"/>
    <w:rsid w:val="003F11F3"/>
    <w:rsid w:val="003F3FD8"/>
    <w:rsid w:val="003F5E6A"/>
    <w:rsid w:val="003F7722"/>
    <w:rsid w:val="00400285"/>
    <w:rsid w:val="00401B0A"/>
    <w:rsid w:val="004025B2"/>
    <w:rsid w:val="00403354"/>
    <w:rsid w:val="00404136"/>
    <w:rsid w:val="00405717"/>
    <w:rsid w:val="004059B4"/>
    <w:rsid w:val="00406D69"/>
    <w:rsid w:val="00407061"/>
    <w:rsid w:val="0040776A"/>
    <w:rsid w:val="00410F4B"/>
    <w:rsid w:val="00411348"/>
    <w:rsid w:val="00411F20"/>
    <w:rsid w:val="00412467"/>
    <w:rsid w:val="00414D9B"/>
    <w:rsid w:val="004169CD"/>
    <w:rsid w:val="004177EE"/>
    <w:rsid w:val="00421AAB"/>
    <w:rsid w:val="00421BAE"/>
    <w:rsid w:val="004257D8"/>
    <w:rsid w:val="004266F4"/>
    <w:rsid w:val="0042685F"/>
    <w:rsid w:val="00426A9E"/>
    <w:rsid w:val="00426FD5"/>
    <w:rsid w:val="004279F8"/>
    <w:rsid w:val="0043299D"/>
    <w:rsid w:val="00433810"/>
    <w:rsid w:val="004359D5"/>
    <w:rsid w:val="004406F5"/>
    <w:rsid w:val="00445493"/>
    <w:rsid w:val="004463DE"/>
    <w:rsid w:val="0044667E"/>
    <w:rsid w:val="004502EF"/>
    <w:rsid w:val="00450BC4"/>
    <w:rsid w:val="004518B9"/>
    <w:rsid w:val="00454B61"/>
    <w:rsid w:val="004560B1"/>
    <w:rsid w:val="004563D2"/>
    <w:rsid w:val="00460EC4"/>
    <w:rsid w:val="004630CE"/>
    <w:rsid w:val="004639DA"/>
    <w:rsid w:val="00463B7D"/>
    <w:rsid w:val="00464424"/>
    <w:rsid w:val="00464C25"/>
    <w:rsid w:val="00466262"/>
    <w:rsid w:val="004675F3"/>
    <w:rsid w:val="00470AB3"/>
    <w:rsid w:val="00470F64"/>
    <w:rsid w:val="00471E09"/>
    <w:rsid w:val="00472949"/>
    <w:rsid w:val="00472B73"/>
    <w:rsid w:val="004739A9"/>
    <w:rsid w:val="004741BD"/>
    <w:rsid w:val="00474F00"/>
    <w:rsid w:val="00475635"/>
    <w:rsid w:val="00475ABF"/>
    <w:rsid w:val="00480041"/>
    <w:rsid w:val="0048036B"/>
    <w:rsid w:val="0048093B"/>
    <w:rsid w:val="004837C7"/>
    <w:rsid w:val="0048450C"/>
    <w:rsid w:val="004850B3"/>
    <w:rsid w:val="0048578A"/>
    <w:rsid w:val="00491D5B"/>
    <w:rsid w:val="0049220C"/>
    <w:rsid w:val="00493D07"/>
    <w:rsid w:val="00494526"/>
    <w:rsid w:val="00494A2E"/>
    <w:rsid w:val="00495CEA"/>
    <w:rsid w:val="004963F1"/>
    <w:rsid w:val="00496F04"/>
    <w:rsid w:val="00497A48"/>
    <w:rsid w:val="004A0027"/>
    <w:rsid w:val="004A0DC0"/>
    <w:rsid w:val="004A165D"/>
    <w:rsid w:val="004A3A84"/>
    <w:rsid w:val="004A4582"/>
    <w:rsid w:val="004A4AAF"/>
    <w:rsid w:val="004A51F0"/>
    <w:rsid w:val="004A583C"/>
    <w:rsid w:val="004A7A06"/>
    <w:rsid w:val="004A7CC4"/>
    <w:rsid w:val="004B341E"/>
    <w:rsid w:val="004B7882"/>
    <w:rsid w:val="004B78B6"/>
    <w:rsid w:val="004C227D"/>
    <w:rsid w:val="004C399B"/>
    <w:rsid w:val="004C3BF2"/>
    <w:rsid w:val="004C459A"/>
    <w:rsid w:val="004C4DC4"/>
    <w:rsid w:val="004C6776"/>
    <w:rsid w:val="004D038A"/>
    <w:rsid w:val="004D1258"/>
    <w:rsid w:val="004D1AA2"/>
    <w:rsid w:val="004D1C08"/>
    <w:rsid w:val="004D2526"/>
    <w:rsid w:val="004D279A"/>
    <w:rsid w:val="004D528E"/>
    <w:rsid w:val="004E17D1"/>
    <w:rsid w:val="004E1ABA"/>
    <w:rsid w:val="004E510A"/>
    <w:rsid w:val="004E529E"/>
    <w:rsid w:val="004E7347"/>
    <w:rsid w:val="004F064A"/>
    <w:rsid w:val="004F3856"/>
    <w:rsid w:val="004F5F71"/>
    <w:rsid w:val="004F660A"/>
    <w:rsid w:val="004F7E37"/>
    <w:rsid w:val="004F7E86"/>
    <w:rsid w:val="0050004C"/>
    <w:rsid w:val="0050055F"/>
    <w:rsid w:val="00500BE9"/>
    <w:rsid w:val="00501A2F"/>
    <w:rsid w:val="00501E95"/>
    <w:rsid w:val="005025A4"/>
    <w:rsid w:val="00505505"/>
    <w:rsid w:val="0050658F"/>
    <w:rsid w:val="00507F22"/>
    <w:rsid w:val="00510054"/>
    <w:rsid w:val="005110B2"/>
    <w:rsid w:val="0051303E"/>
    <w:rsid w:val="00514655"/>
    <w:rsid w:val="00515917"/>
    <w:rsid w:val="00517FE1"/>
    <w:rsid w:val="00522458"/>
    <w:rsid w:val="00522B17"/>
    <w:rsid w:val="00524C68"/>
    <w:rsid w:val="00525B1D"/>
    <w:rsid w:val="00527AE5"/>
    <w:rsid w:val="005308FD"/>
    <w:rsid w:val="00532D73"/>
    <w:rsid w:val="005339D6"/>
    <w:rsid w:val="00536E30"/>
    <w:rsid w:val="00537847"/>
    <w:rsid w:val="00541632"/>
    <w:rsid w:val="005427C4"/>
    <w:rsid w:val="005511A0"/>
    <w:rsid w:val="00555993"/>
    <w:rsid w:val="005568ED"/>
    <w:rsid w:val="0055731B"/>
    <w:rsid w:val="005615F0"/>
    <w:rsid w:val="005619C1"/>
    <w:rsid w:val="005626F3"/>
    <w:rsid w:val="005628B8"/>
    <w:rsid w:val="00562D5E"/>
    <w:rsid w:val="00562D82"/>
    <w:rsid w:val="005653AB"/>
    <w:rsid w:val="00565589"/>
    <w:rsid w:val="00566D2B"/>
    <w:rsid w:val="00571CD8"/>
    <w:rsid w:val="00573A02"/>
    <w:rsid w:val="005756F1"/>
    <w:rsid w:val="005764FE"/>
    <w:rsid w:val="005819CE"/>
    <w:rsid w:val="005823FA"/>
    <w:rsid w:val="005837A1"/>
    <w:rsid w:val="00583909"/>
    <w:rsid w:val="00583E7A"/>
    <w:rsid w:val="00584E67"/>
    <w:rsid w:val="00585F04"/>
    <w:rsid w:val="0058651E"/>
    <w:rsid w:val="0058659E"/>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631B"/>
    <w:rsid w:val="005C6E71"/>
    <w:rsid w:val="005C7ECC"/>
    <w:rsid w:val="005D0491"/>
    <w:rsid w:val="005D0D7C"/>
    <w:rsid w:val="005D1F30"/>
    <w:rsid w:val="005D2463"/>
    <w:rsid w:val="005D528F"/>
    <w:rsid w:val="005D743F"/>
    <w:rsid w:val="005E086E"/>
    <w:rsid w:val="005E3C12"/>
    <w:rsid w:val="005E537A"/>
    <w:rsid w:val="005E55DC"/>
    <w:rsid w:val="005E577B"/>
    <w:rsid w:val="005E741D"/>
    <w:rsid w:val="005E7CEA"/>
    <w:rsid w:val="005F1E73"/>
    <w:rsid w:val="005F4E85"/>
    <w:rsid w:val="00600BF4"/>
    <w:rsid w:val="00602748"/>
    <w:rsid w:val="006036A3"/>
    <w:rsid w:val="00604254"/>
    <w:rsid w:val="006055CB"/>
    <w:rsid w:val="00606902"/>
    <w:rsid w:val="006071CA"/>
    <w:rsid w:val="0060791E"/>
    <w:rsid w:val="0061053E"/>
    <w:rsid w:val="0061147C"/>
    <w:rsid w:val="0061263E"/>
    <w:rsid w:val="0061514C"/>
    <w:rsid w:val="00615853"/>
    <w:rsid w:val="00623114"/>
    <w:rsid w:val="006238D8"/>
    <w:rsid w:val="00626374"/>
    <w:rsid w:val="0062682E"/>
    <w:rsid w:val="00626D1F"/>
    <w:rsid w:val="00633161"/>
    <w:rsid w:val="0063524D"/>
    <w:rsid w:val="006356C8"/>
    <w:rsid w:val="00637DCC"/>
    <w:rsid w:val="00643512"/>
    <w:rsid w:val="00643CFC"/>
    <w:rsid w:val="00644B47"/>
    <w:rsid w:val="00645E21"/>
    <w:rsid w:val="00647780"/>
    <w:rsid w:val="006553FD"/>
    <w:rsid w:val="00655588"/>
    <w:rsid w:val="00655D90"/>
    <w:rsid w:val="00657839"/>
    <w:rsid w:val="00657FFE"/>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615"/>
    <w:rsid w:val="006A3DDC"/>
    <w:rsid w:val="006A4E62"/>
    <w:rsid w:val="006A5EDA"/>
    <w:rsid w:val="006A6608"/>
    <w:rsid w:val="006A695C"/>
    <w:rsid w:val="006A6ABE"/>
    <w:rsid w:val="006A6FAB"/>
    <w:rsid w:val="006B20F8"/>
    <w:rsid w:val="006B24E1"/>
    <w:rsid w:val="006B33C4"/>
    <w:rsid w:val="006B3970"/>
    <w:rsid w:val="006B46A8"/>
    <w:rsid w:val="006B46CD"/>
    <w:rsid w:val="006B47B0"/>
    <w:rsid w:val="006B4D60"/>
    <w:rsid w:val="006B63E4"/>
    <w:rsid w:val="006B7747"/>
    <w:rsid w:val="006B7C72"/>
    <w:rsid w:val="006C1799"/>
    <w:rsid w:val="006C18F6"/>
    <w:rsid w:val="006C3D8D"/>
    <w:rsid w:val="006C4183"/>
    <w:rsid w:val="006C5DC3"/>
    <w:rsid w:val="006D0095"/>
    <w:rsid w:val="006D0DA7"/>
    <w:rsid w:val="006D13C5"/>
    <w:rsid w:val="006D671A"/>
    <w:rsid w:val="006D682D"/>
    <w:rsid w:val="006D786E"/>
    <w:rsid w:val="006E0CF6"/>
    <w:rsid w:val="006E1C0D"/>
    <w:rsid w:val="006E2249"/>
    <w:rsid w:val="006E2AE3"/>
    <w:rsid w:val="006E3049"/>
    <w:rsid w:val="006E31BB"/>
    <w:rsid w:val="006E3B9B"/>
    <w:rsid w:val="006E6652"/>
    <w:rsid w:val="006E7D40"/>
    <w:rsid w:val="006F0822"/>
    <w:rsid w:val="006F0D50"/>
    <w:rsid w:val="006F1A95"/>
    <w:rsid w:val="006F4170"/>
    <w:rsid w:val="006F4A08"/>
    <w:rsid w:val="006F6C12"/>
    <w:rsid w:val="006F6CAB"/>
    <w:rsid w:val="006F709B"/>
    <w:rsid w:val="0070083E"/>
    <w:rsid w:val="00700A82"/>
    <w:rsid w:val="00703E6B"/>
    <w:rsid w:val="00705758"/>
    <w:rsid w:val="00705827"/>
    <w:rsid w:val="00706DB3"/>
    <w:rsid w:val="0071013A"/>
    <w:rsid w:val="0071308B"/>
    <w:rsid w:val="00715366"/>
    <w:rsid w:val="00716437"/>
    <w:rsid w:val="00716B39"/>
    <w:rsid w:val="007200AA"/>
    <w:rsid w:val="007201EA"/>
    <w:rsid w:val="00721879"/>
    <w:rsid w:val="00721922"/>
    <w:rsid w:val="00721E16"/>
    <w:rsid w:val="00722C08"/>
    <w:rsid w:val="00722E93"/>
    <w:rsid w:val="00723058"/>
    <w:rsid w:val="0072474E"/>
    <w:rsid w:val="00727C00"/>
    <w:rsid w:val="00733065"/>
    <w:rsid w:val="007349AD"/>
    <w:rsid w:val="007354CC"/>
    <w:rsid w:val="0073565A"/>
    <w:rsid w:val="0073689B"/>
    <w:rsid w:val="00737736"/>
    <w:rsid w:val="00740FA2"/>
    <w:rsid w:val="00741E38"/>
    <w:rsid w:val="007422FF"/>
    <w:rsid w:val="0074232B"/>
    <w:rsid w:val="0074234F"/>
    <w:rsid w:val="00742862"/>
    <w:rsid w:val="0074448F"/>
    <w:rsid w:val="007457F1"/>
    <w:rsid w:val="00746F41"/>
    <w:rsid w:val="007514E9"/>
    <w:rsid w:val="00752BFF"/>
    <w:rsid w:val="007551AB"/>
    <w:rsid w:val="00755AE9"/>
    <w:rsid w:val="00761220"/>
    <w:rsid w:val="00761D42"/>
    <w:rsid w:val="007655BF"/>
    <w:rsid w:val="00774094"/>
    <w:rsid w:val="00774EA9"/>
    <w:rsid w:val="00775BB8"/>
    <w:rsid w:val="00776BD7"/>
    <w:rsid w:val="00776E4A"/>
    <w:rsid w:val="007776DD"/>
    <w:rsid w:val="007779B4"/>
    <w:rsid w:val="007811A2"/>
    <w:rsid w:val="007815CC"/>
    <w:rsid w:val="00781A96"/>
    <w:rsid w:val="00782382"/>
    <w:rsid w:val="00783019"/>
    <w:rsid w:val="00783279"/>
    <w:rsid w:val="00784C2F"/>
    <w:rsid w:val="00786B5C"/>
    <w:rsid w:val="007877F3"/>
    <w:rsid w:val="00787B09"/>
    <w:rsid w:val="00787C45"/>
    <w:rsid w:val="00787EE4"/>
    <w:rsid w:val="007939E4"/>
    <w:rsid w:val="00796F05"/>
    <w:rsid w:val="007974C6"/>
    <w:rsid w:val="007A063B"/>
    <w:rsid w:val="007A1A7E"/>
    <w:rsid w:val="007A1E18"/>
    <w:rsid w:val="007A24E7"/>
    <w:rsid w:val="007A4E3B"/>
    <w:rsid w:val="007A52AA"/>
    <w:rsid w:val="007A639E"/>
    <w:rsid w:val="007B1F45"/>
    <w:rsid w:val="007B2C93"/>
    <w:rsid w:val="007B4089"/>
    <w:rsid w:val="007B464E"/>
    <w:rsid w:val="007B4D64"/>
    <w:rsid w:val="007B508F"/>
    <w:rsid w:val="007B704E"/>
    <w:rsid w:val="007B7A93"/>
    <w:rsid w:val="007C1852"/>
    <w:rsid w:val="007C2A52"/>
    <w:rsid w:val="007C2C87"/>
    <w:rsid w:val="007D0773"/>
    <w:rsid w:val="007D118B"/>
    <w:rsid w:val="007D14C1"/>
    <w:rsid w:val="007D220C"/>
    <w:rsid w:val="007D499E"/>
    <w:rsid w:val="007E410B"/>
    <w:rsid w:val="007E47F5"/>
    <w:rsid w:val="007E67B7"/>
    <w:rsid w:val="007F187C"/>
    <w:rsid w:val="007F18A3"/>
    <w:rsid w:val="007F35CA"/>
    <w:rsid w:val="007F612D"/>
    <w:rsid w:val="007F6912"/>
    <w:rsid w:val="007F78A0"/>
    <w:rsid w:val="007F7C7D"/>
    <w:rsid w:val="00801C55"/>
    <w:rsid w:val="00803953"/>
    <w:rsid w:val="00804EB0"/>
    <w:rsid w:val="00805634"/>
    <w:rsid w:val="00805BF0"/>
    <w:rsid w:val="008066A7"/>
    <w:rsid w:val="00807F79"/>
    <w:rsid w:val="00810C31"/>
    <w:rsid w:val="00811625"/>
    <w:rsid w:val="00811A66"/>
    <w:rsid w:val="00812E78"/>
    <w:rsid w:val="008141A4"/>
    <w:rsid w:val="008152C1"/>
    <w:rsid w:val="008161E4"/>
    <w:rsid w:val="00817229"/>
    <w:rsid w:val="00817B36"/>
    <w:rsid w:val="00821834"/>
    <w:rsid w:val="00822616"/>
    <w:rsid w:val="0082272A"/>
    <w:rsid w:val="00826688"/>
    <w:rsid w:val="0082729E"/>
    <w:rsid w:val="0083014E"/>
    <w:rsid w:val="008325A0"/>
    <w:rsid w:val="00835D1C"/>
    <w:rsid w:val="008401FE"/>
    <w:rsid w:val="00841928"/>
    <w:rsid w:val="00844C51"/>
    <w:rsid w:val="00846DBA"/>
    <w:rsid w:val="00847EB7"/>
    <w:rsid w:val="0085023F"/>
    <w:rsid w:val="00852CAC"/>
    <w:rsid w:val="008542C6"/>
    <w:rsid w:val="008577FE"/>
    <w:rsid w:val="0086230B"/>
    <w:rsid w:val="00863D57"/>
    <w:rsid w:val="0086661B"/>
    <w:rsid w:val="00867110"/>
    <w:rsid w:val="00867331"/>
    <w:rsid w:val="00870EB2"/>
    <w:rsid w:val="008734E6"/>
    <w:rsid w:val="00873B81"/>
    <w:rsid w:val="00874EE2"/>
    <w:rsid w:val="00876A64"/>
    <w:rsid w:val="00876E5C"/>
    <w:rsid w:val="00881177"/>
    <w:rsid w:val="00882AC3"/>
    <w:rsid w:val="00884CF8"/>
    <w:rsid w:val="00885D00"/>
    <w:rsid w:val="00885F37"/>
    <w:rsid w:val="00886A63"/>
    <w:rsid w:val="00886DB3"/>
    <w:rsid w:val="008904C7"/>
    <w:rsid w:val="008917AD"/>
    <w:rsid w:val="0089211D"/>
    <w:rsid w:val="008947C3"/>
    <w:rsid w:val="00895745"/>
    <w:rsid w:val="008963EB"/>
    <w:rsid w:val="008976C1"/>
    <w:rsid w:val="008A2EDC"/>
    <w:rsid w:val="008A2F2E"/>
    <w:rsid w:val="008A31A1"/>
    <w:rsid w:val="008A6DA5"/>
    <w:rsid w:val="008A72D3"/>
    <w:rsid w:val="008B2341"/>
    <w:rsid w:val="008B2D3E"/>
    <w:rsid w:val="008B697A"/>
    <w:rsid w:val="008B7CED"/>
    <w:rsid w:val="008B7E1A"/>
    <w:rsid w:val="008C085D"/>
    <w:rsid w:val="008C319B"/>
    <w:rsid w:val="008C3682"/>
    <w:rsid w:val="008C545E"/>
    <w:rsid w:val="008C5CAB"/>
    <w:rsid w:val="008C68D9"/>
    <w:rsid w:val="008C7B3F"/>
    <w:rsid w:val="008D004F"/>
    <w:rsid w:val="008D090E"/>
    <w:rsid w:val="008D0E09"/>
    <w:rsid w:val="008D0E6C"/>
    <w:rsid w:val="008D27B9"/>
    <w:rsid w:val="008D4010"/>
    <w:rsid w:val="008D4BDB"/>
    <w:rsid w:val="008D6747"/>
    <w:rsid w:val="008E1024"/>
    <w:rsid w:val="008E2186"/>
    <w:rsid w:val="008E3A12"/>
    <w:rsid w:val="008E5761"/>
    <w:rsid w:val="008E5AF6"/>
    <w:rsid w:val="008E708D"/>
    <w:rsid w:val="008F0915"/>
    <w:rsid w:val="008F0F53"/>
    <w:rsid w:val="008F1EF1"/>
    <w:rsid w:val="008F53BF"/>
    <w:rsid w:val="009004FE"/>
    <w:rsid w:val="00900AF9"/>
    <w:rsid w:val="00900B6C"/>
    <w:rsid w:val="009014E0"/>
    <w:rsid w:val="00901D05"/>
    <w:rsid w:val="00901F5A"/>
    <w:rsid w:val="00902DE1"/>
    <w:rsid w:val="009047D2"/>
    <w:rsid w:val="00910CD2"/>
    <w:rsid w:val="009134F7"/>
    <w:rsid w:val="00915C29"/>
    <w:rsid w:val="009172CE"/>
    <w:rsid w:val="009176F7"/>
    <w:rsid w:val="0091791C"/>
    <w:rsid w:val="009202AF"/>
    <w:rsid w:val="00922F28"/>
    <w:rsid w:val="00923484"/>
    <w:rsid w:val="00924D8F"/>
    <w:rsid w:val="00926337"/>
    <w:rsid w:val="00932AA2"/>
    <w:rsid w:val="00936410"/>
    <w:rsid w:val="00940DF4"/>
    <w:rsid w:val="00941CD3"/>
    <w:rsid w:val="009425D6"/>
    <w:rsid w:val="00946944"/>
    <w:rsid w:val="00947C4C"/>
    <w:rsid w:val="009526B9"/>
    <w:rsid w:val="00952D35"/>
    <w:rsid w:val="00953184"/>
    <w:rsid w:val="00953D67"/>
    <w:rsid w:val="009555FF"/>
    <w:rsid w:val="00956221"/>
    <w:rsid w:val="00956F35"/>
    <w:rsid w:val="0095792D"/>
    <w:rsid w:val="00961C4A"/>
    <w:rsid w:val="00962DBD"/>
    <w:rsid w:val="0096528D"/>
    <w:rsid w:val="00965D6F"/>
    <w:rsid w:val="00967AFD"/>
    <w:rsid w:val="00967B73"/>
    <w:rsid w:val="00973269"/>
    <w:rsid w:val="00974D33"/>
    <w:rsid w:val="00975521"/>
    <w:rsid w:val="00975C88"/>
    <w:rsid w:val="009762D9"/>
    <w:rsid w:val="00976A1E"/>
    <w:rsid w:val="00976FF6"/>
    <w:rsid w:val="00981D1F"/>
    <w:rsid w:val="00982358"/>
    <w:rsid w:val="00983129"/>
    <w:rsid w:val="00986DA8"/>
    <w:rsid w:val="00987791"/>
    <w:rsid w:val="009906A8"/>
    <w:rsid w:val="00990B6A"/>
    <w:rsid w:val="009910BF"/>
    <w:rsid w:val="009916F1"/>
    <w:rsid w:val="00991ABF"/>
    <w:rsid w:val="00991E9B"/>
    <w:rsid w:val="0099255A"/>
    <w:rsid w:val="00992BCD"/>
    <w:rsid w:val="009939F7"/>
    <w:rsid w:val="00995EAE"/>
    <w:rsid w:val="0099643D"/>
    <w:rsid w:val="00997A7C"/>
    <w:rsid w:val="009A0833"/>
    <w:rsid w:val="009A096D"/>
    <w:rsid w:val="009A531E"/>
    <w:rsid w:val="009A5891"/>
    <w:rsid w:val="009A73F2"/>
    <w:rsid w:val="009B0C60"/>
    <w:rsid w:val="009B116D"/>
    <w:rsid w:val="009B1C0E"/>
    <w:rsid w:val="009B5A70"/>
    <w:rsid w:val="009B6806"/>
    <w:rsid w:val="009B6E2B"/>
    <w:rsid w:val="009C0080"/>
    <w:rsid w:val="009C0599"/>
    <w:rsid w:val="009C1CA2"/>
    <w:rsid w:val="009C1D4A"/>
    <w:rsid w:val="009C2603"/>
    <w:rsid w:val="009C2A91"/>
    <w:rsid w:val="009C3351"/>
    <w:rsid w:val="009C41EF"/>
    <w:rsid w:val="009C5198"/>
    <w:rsid w:val="009C567B"/>
    <w:rsid w:val="009C56C6"/>
    <w:rsid w:val="009C7B96"/>
    <w:rsid w:val="009C7C8F"/>
    <w:rsid w:val="009D1159"/>
    <w:rsid w:val="009D14D6"/>
    <w:rsid w:val="009D2458"/>
    <w:rsid w:val="009D2773"/>
    <w:rsid w:val="009D282F"/>
    <w:rsid w:val="009D3A9E"/>
    <w:rsid w:val="009D4DA5"/>
    <w:rsid w:val="009E1303"/>
    <w:rsid w:val="009E1E52"/>
    <w:rsid w:val="009E3009"/>
    <w:rsid w:val="009E50AE"/>
    <w:rsid w:val="009E77E2"/>
    <w:rsid w:val="009E7F7B"/>
    <w:rsid w:val="009F0F79"/>
    <w:rsid w:val="009F1B3D"/>
    <w:rsid w:val="009F3363"/>
    <w:rsid w:val="009F3A30"/>
    <w:rsid w:val="009F4523"/>
    <w:rsid w:val="009F48C7"/>
    <w:rsid w:val="009F5C19"/>
    <w:rsid w:val="009F691F"/>
    <w:rsid w:val="00A00B24"/>
    <w:rsid w:val="00A03D6F"/>
    <w:rsid w:val="00A03FC2"/>
    <w:rsid w:val="00A06A16"/>
    <w:rsid w:val="00A10E73"/>
    <w:rsid w:val="00A1473A"/>
    <w:rsid w:val="00A162AC"/>
    <w:rsid w:val="00A211C5"/>
    <w:rsid w:val="00A232B7"/>
    <w:rsid w:val="00A23C39"/>
    <w:rsid w:val="00A23F45"/>
    <w:rsid w:val="00A23FBE"/>
    <w:rsid w:val="00A2526B"/>
    <w:rsid w:val="00A27335"/>
    <w:rsid w:val="00A31CC5"/>
    <w:rsid w:val="00A3326F"/>
    <w:rsid w:val="00A3394E"/>
    <w:rsid w:val="00A347C8"/>
    <w:rsid w:val="00A34BCE"/>
    <w:rsid w:val="00A356C8"/>
    <w:rsid w:val="00A40339"/>
    <w:rsid w:val="00A408E0"/>
    <w:rsid w:val="00A40BBF"/>
    <w:rsid w:val="00A40F36"/>
    <w:rsid w:val="00A414C0"/>
    <w:rsid w:val="00A43D3D"/>
    <w:rsid w:val="00A45A3A"/>
    <w:rsid w:val="00A47B53"/>
    <w:rsid w:val="00A47F41"/>
    <w:rsid w:val="00A516AA"/>
    <w:rsid w:val="00A52F78"/>
    <w:rsid w:val="00A54100"/>
    <w:rsid w:val="00A542A5"/>
    <w:rsid w:val="00A5467A"/>
    <w:rsid w:val="00A55DEC"/>
    <w:rsid w:val="00A5694D"/>
    <w:rsid w:val="00A577AE"/>
    <w:rsid w:val="00A621C2"/>
    <w:rsid w:val="00A666DC"/>
    <w:rsid w:val="00A70205"/>
    <w:rsid w:val="00A711CC"/>
    <w:rsid w:val="00A721CA"/>
    <w:rsid w:val="00A72B73"/>
    <w:rsid w:val="00A73C7B"/>
    <w:rsid w:val="00A74710"/>
    <w:rsid w:val="00A74DE5"/>
    <w:rsid w:val="00A7572C"/>
    <w:rsid w:val="00A75A29"/>
    <w:rsid w:val="00A76460"/>
    <w:rsid w:val="00A76977"/>
    <w:rsid w:val="00A772DA"/>
    <w:rsid w:val="00A77C95"/>
    <w:rsid w:val="00A8106F"/>
    <w:rsid w:val="00A8375B"/>
    <w:rsid w:val="00A8381D"/>
    <w:rsid w:val="00A8766B"/>
    <w:rsid w:val="00A87E4A"/>
    <w:rsid w:val="00A90635"/>
    <w:rsid w:val="00A90878"/>
    <w:rsid w:val="00A91B0C"/>
    <w:rsid w:val="00A930B3"/>
    <w:rsid w:val="00A933E2"/>
    <w:rsid w:val="00A944D1"/>
    <w:rsid w:val="00A94A6F"/>
    <w:rsid w:val="00A95A97"/>
    <w:rsid w:val="00A977D9"/>
    <w:rsid w:val="00A978E1"/>
    <w:rsid w:val="00AA02E4"/>
    <w:rsid w:val="00AA131E"/>
    <w:rsid w:val="00AA1644"/>
    <w:rsid w:val="00AA19AF"/>
    <w:rsid w:val="00AA681E"/>
    <w:rsid w:val="00AA6A1F"/>
    <w:rsid w:val="00AB0860"/>
    <w:rsid w:val="00AB1010"/>
    <w:rsid w:val="00AB13A2"/>
    <w:rsid w:val="00AB1802"/>
    <w:rsid w:val="00AB1FD8"/>
    <w:rsid w:val="00AB2C12"/>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429"/>
    <w:rsid w:val="00AC660C"/>
    <w:rsid w:val="00AC6A1A"/>
    <w:rsid w:val="00AC7639"/>
    <w:rsid w:val="00AD1FC1"/>
    <w:rsid w:val="00AD2A36"/>
    <w:rsid w:val="00AD2B8F"/>
    <w:rsid w:val="00AD3064"/>
    <w:rsid w:val="00AD4AF3"/>
    <w:rsid w:val="00AD584C"/>
    <w:rsid w:val="00AD65A2"/>
    <w:rsid w:val="00AE2C4C"/>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1CC8"/>
    <w:rsid w:val="00B02A9D"/>
    <w:rsid w:val="00B02B41"/>
    <w:rsid w:val="00B04F68"/>
    <w:rsid w:val="00B0599D"/>
    <w:rsid w:val="00B109A8"/>
    <w:rsid w:val="00B11139"/>
    <w:rsid w:val="00B111A3"/>
    <w:rsid w:val="00B1191D"/>
    <w:rsid w:val="00B11E0A"/>
    <w:rsid w:val="00B11EEB"/>
    <w:rsid w:val="00B12F61"/>
    <w:rsid w:val="00B1388A"/>
    <w:rsid w:val="00B13BB2"/>
    <w:rsid w:val="00B13DB8"/>
    <w:rsid w:val="00B153FC"/>
    <w:rsid w:val="00B1699E"/>
    <w:rsid w:val="00B16C0D"/>
    <w:rsid w:val="00B17504"/>
    <w:rsid w:val="00B20D1E"/>
    <w:rsid w:val="00B22A49"/>
    <w:rsid w:val="00B22DE4"/>
    <w:rsid w:val="00B22FD4"/>
    <w:rsid w:val="00B25335"/>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4F77"/>
    <w:rsid w:val="00B674DF"/>
    <w:rsid w:val="00B6776E"/>
    <w:rsid w:val="00B7161D"/>
    <w:rsid w:val="00B71988"/>
    <w:rsid w:val="00B75608"/>
    <w:rsid w:val="00B80990"/>
    <w:rsid w:val="00B8173A"/>
    <w:rsid w:val="00B82536"/>
    <w:rsid w:val="00B8292A"/>
    <w:rsid w:val="00B832FA"/>
    <w:rsid w:val="00B84561"/>
    <w:rsid w:val="00B84920"/>
    <w:rsid w:val="00B8515D"/>
    <w:rsid w:val="00B87155"/>
    <w:rsid w:val="00B8741B"/>
    <w:rsid w:val="00B8794E"/>
    <w:rsid w:val="00B907DE"/>
    <w:rsid w:val="00B91221"/>
    <w:rsid w:val="00B92148"/>
    <w:rsid w:val="00B936B7"/>
    <w:rsid w:val="00B96557"/>
    <w:rsid w:val="00B96CD3"/>
    <w:rsid w:val="00B96EBC"/>
    <w:rsid w:val="00BA0583"/>
    <w:rsid w:val="00BA48CD"/>
    <w:rsid w:val="00BA4F68"/>
    <w:rsid w:val="00BA50DD"/>
    <w:rsid w:val="00BB050A"/>
    <w:rsid w:val="00BB0DB7"/>
    <w:rsid w:val="00BB1A98"/>
    <w:rsid w:val="00BB27AA"/>
    <w:rsid w:val="00BB2BDA"/>
    <w:rsid w:val="00BB5E8D"/>
    <w:rsid w:val="00BB6E43"/>
    <w:rsid w:val="00BB7390"/>
    <w:rsid w:val="00BB7DD5"/>
    <w:rsid w:val="00BC15D5"/>
    <w:rsid w:val="00BC50AB"/>
    <w:rsid w:val="00BC694F"/>
    <w:rsid w:val="00BD0537"/>
    <w:rsid w:val="00BD08F2"/>
    <w:rsid w:val="00BD1088"/>
    <w:rsid w:val="00BD20F2"/>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54CF"/>
    <w:rsid w:val="00BF658B"/>
    <w:rsid w:val="00BF6612"/>
    <w:rsid w:val="00C0026B"/>
    <w:rsid w:val="00C009CB"/>
    <w:rsid w:val="00C00E49"/>
    <w:rsid w:val="00C016FD"/>
    <w:rsid w:val="00C02237"/>
    <w:rsid w:val="00C05F1A"/>
    <w:rsid w:val="00C10CCC"/>
    <w:rsid w:val="00C117B3"/>
    <w:rsid w:val="00C13E0F"/>
    <w:rsid w:val="00C1602F"/>
    <w:rsid w:val="00C16F54"/>
    <w:rsid w:val="00C17A95"/>
    <w:rsid w:val="00C201BE"/>
    <w:rsid w:val="00C2169D"/>
    <w:rsid w:val="00C21E88"/>
    <w:rsid w:val="00C22CFD"/>
    <w:rsid w:val="00C233A8"/>
    <w:rsid w:val="00C32145"/>
    <w:rsid w:val="00C3316B"/>
    <w:rsid w:val="00C344CA"/>
    <w:rsid w:val="00C347C1"/>
    <w:rsid w:val="00C34BA1"/>
    <w:rsid w:val="00C36943"/>
    <w:rsid w:val="00C36D6D"/>
    <w:rsid w:val="00C4375D"/>
    <w:rsid w:val="00C43ADF"/>
    <w:rsid w:val="00C44906"/>
    <w:rsid w:val="00C458F7"/>
    <w:rsid w:val="00C467C0"/>
    <w:rsid w:val="00C46F31"/>
    <w:rsid w:val="00C50224"/>
    <w:rsid w:val="00C5206F"/>
    <w:rsid w:val="00C52B8D"/>
    <w:rsid w:val="00C54986"/>
    <w:rsid w:val="00C55533"/>
    <w:rsid w:val="00C57494"/>
    <w:rsid w:val="00C603D0"/>
    <w:rsid w:val="00C61785"/>
    <w:rsid w:val="00C625DC"/>
    <w:rsid w:val="00C629E5"/>
    <w:rsid w:val="00C62FA4"/>
    <w:rsid w:val="00C637A7"/>
    <w:rsid w:val="00C6457C"/>
    <w:rsid w:val="00C650F5"/>
    <w:rsid w:val="00C65513"/>
    <w:rsid w:val="00C655FB"/>
    <w:rsid w:val="00C65899"/>
    <w:rsid w:val="00C660D0"/>
    <w:rsid w:val="00C66791"/>
    <w:rsid w:val="00C675D6"/>
    <w:rsid w:val="00C677FA"/>
    <w:rsid w:val="00C70030"/>
    <w:rsid w:val="00C71EA6"/>
    <w:rsid w:val="00C73C35"/>
    <w:rsid w:val="00C76C45"/>
    <w:rsid w:val="00C76D54"/>
    <w:rsid w:val="00C8268D"/>
    <w:rsid w:val="00C83179"/>
    <w:rsid w:val="00C83CDB"/>
    <w:rsid w:val="00C847C8"/>
    <w:rsid w:val="00C86D9E"/>
    <w:rsid w:val="00C87E76"/>
    <w:rsid w:val="00C91210"/>
    <w:rsid w:val="00C928CE"/>
    <w:rsid w:val="00C92A2A"/>
    <w:rsid w:val="00C9456D"/>
    <w:rsid w:val="00C9535A"/>
    <w:rsid w:val="00C95913"/>
    <w:rsid w:val="00CA3A3D"/>
    <w:rsid w:val="00CA5EB5"/>
    <w:rsid w:val="00CA7238"/>
    <w:rsid w:val="00CA7BDD"/>
    <w:rsid w:val="00CB1246"/>
    <w:rsid w:val="00CB15DB"/>
    <w:rsid w:val="00CB18B6"/>
    <w:rsid w:val="00CB2B9B"/>
    <w:rsid w:val="00CB2FF3"/>
    <w:rsid w:val="00CB3044"/>
    <w:rsid w:val="00CB39B0"/>
    <w:rsid w:val="00CB4338"/>
    <w:rsid w:val="00CB4CB7"/>
    <w:rsid w:val="00CB4D62"/>
    <w:rsid w:val="00CB5401"/>
    <w:rsid w:val="00CB5446"/>
    <w:rsid w:val="00CB6339"/>
    <w:rsid w:val="00CB79C0"/>
    <w:rsid w:val="00CB7BAE"/>
    <w:rsid w:val="00CB7C62"/>
    <w:rsid w:val="00CC1262"/>
    <w:rsid w:val="00CC2643"/>
    <w:rsid w:val="00CC3C1A"/>
    <w:rsid w:val="00CC4461"/>
    <w:rsid w:val="00CC505C"/>
    <w:rsid w:val="00CC621F"/>
    <w:rsid w:val="00CC6A54"/>
    <w:rsid w:val="00CC7E93"/>
    <w:rsid w:val="00CD038A"/>
    <w:rsid w:val="00CD03E8"/>
    <w:rsid w:val="00CD11BF"/>
    <w:rsid w:val="00CD1B24"/>
    <w:rsid w:val="00CD5DE0"/>
    <w:rsid w:val="00CD5EAE"/>
    <w:rsid w:val="00CD6A47"/>
    <w:rsid w:val="00CD71D4"/>
    <w:rsid w:val="00CD770D"/>
    <w:rsid w:val="00CE1DA0"/>
    <w:rsid w:val="00CE2CBB"/>
    <w:rsid w:val="00CE3234"/>
    <w:rsid w:val="00CE32BC"/>
    <w:rsid w:val="00CE6714"/>
    <w:rsid w:val="00CE7C68"/>
    <w:rsid w:val="00D01ED4"/>
    <w:rsid w:val="00D02356"/>
    <w:rsid w:val="00D02747"/>
    <w:rsid w:val="00D032B1"/>
    <w:rsid w:val="00D03C98"/>
    <w:rsid w:val="00D041C2"/>
    <w:rsid w:val="00D04B8A"/>
    <w:rsid w:val="00D04DDB"/>
    <w:rsid w:val="00D07F49"/>
    <w:rsid w:val="00D13B7E"/>
    <w:rsid w:val="00D13ED6"/>
    <w:rsid w:val="00D1472F"/>
    <w:rsid w:val="00D14AAB"/>
    <w:rsid w:val="00D15C95"/>
    <w:rsid w:val="00D1635D"/>
    <w:rsid w:val="00D1687C"/>
    <w:rsid w:val="00D1749C"/>
    <w:rsid w:val="00D20068"/>
    <w:rsid w:val="00D22EBE"/>
    <w:rsid w:val="00D233BC"/>
    <w:rsid w:val="00D25EB2"/>
    <w:rsid w:val="00D26BD9"/>
    <w:rsid w:val="00D31788"/>
    <w:rsid w:val="00D32439"/>
    <w:rsid w:val="00D32A36"/>
    <w:rsid w:val="00D33C20"/>
    <w:rsid w:val="00D35885"/>
    <w:rsid w:val="00D4073D"/>
    <w:rsid w:val="00D414BF"/>
    <w:rsid w:val="00D4518E"/>
    <w:rsid w:val="00D4720B"/>
    <w:rsid w:val="00D50A92"/>
    <w:rsid w:val="00D5189A"/>
    <w:rsid w:val="00D5447E"/>
    <w:rsid w:val="00D551B5"/>
    <w:rsid w:val="00D56CB4"/>
    <w:rsid w:val="00D57752"/>
    <w:rsid w:val="00D603A9"/>
    <w:rsid w:val="00D61A22"/>
    <w:rsid w:val="00D626E3"/>
    <w:rsid w:val="00D63742"/>
    <w:rsid w:val="00D651F8"/>
    <w:rsid w:val="00D65917"/>
    <w:rsid w:val="00D66BE8"/>
    <w:rsid w:val="00D67163"/>
    <w:rsid w:val="00D6716D"/>
    <w:rsid w:val="00D70DB1"/>
    <w:rsid w:val="00D72E41"/>
    <w:rsid w:val="00D72F02"/>
    <w:rsid w:val="00D74433"/>
    <w:rsid w:val="00D7568A"/>
    <w:rsid w:val="00D76AB0"/>
    <w:rsid w:val="00D779FE"/>
    <w:rsid w:val="00D80E13"/>
    <w:rsid w:val="00D81161"/>
    <w:rsid w:val="00D81D06"/>
    <w:rsid w:val="00D823BA"/>
    <w:rsid w:val="00D82C69"/>
    <w:rsid w:val="00D83FBA"/>
    <w:rsid w:val="00D850D3"/>
    <w:rsid w:val="00D869DB"/>
    <w:rsid w:val="00D869EC"/>
    <w:rsid w:val="00D90456"/>
    <w:rsid w:val="00D9047A"/>
    <w:rsid w:val="00D9274E"/>
    <w:rsid w:val="00D93060"/>
    <w:rsid w:val="00D96682"/>
    <w:rsid w:val="00DA10AC"/>
    <w:rsid w:val="00DA26D2"/>
    <w:rsid w:val="00DA3E30"/>
    <w:rsid w:val="00DA501E"/>
    <w:rsid w:val="00DA763C"/>
    <w:rsid w:val="00DB7B22"/>
    <w:rsid w:val="00DC21CC"/>
    <w:rsid w:val="00DC39C0"/>
    <w:rsid w:val="00DC3B5B"/>
    <w:rsid w:val="00DC446F"/>
    <w:rsid w:val="00DC58E2"/>
    <w:rsid w:val="00DC65A1"/>
    <w:rsid w:val="00DC7E3E"/>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1B07"/>
    <w:rsid w:val="00E033D8"/>
    <w:rsid w:val="00E05417"/>
    <w:rsid w:val="00E061AA"/>
    <w:rsid w:val="00E06862"/>
    <w:rsid w:val="00E07851"/>
    <w:rsid w:val="00E101AE"/>
    <w:rsid w:val="00E10E73"/>
    <w:rsid w:val="00E11DBF"/>
    <w:rsid w:val="00E11E71"/>
    <w:rsid w:val="00E17DC6"/>
    <w:rsid w:val="00E204DB"/>
    <w:rsid w:val="00E21471"/>
    <w:rsid w:val="00E220EA"/>
    <w:rsid w:val="00E244E9"/>
    <w:rsid w:val="00E246AB"/>
    <w:rsid w:val="00E27CC8"/>
    <w:rsid w:val="00E30836"/>
    <w:rsid w:val="00E32209"/>
    <w:rsid w:val="00E327CD"/>
    <w:rsid w:val="00E331F5"/>
    <w:rsid w:val="00E34955"/>
    <w:rsid w:val="00E36264"/>
    <w:rsid w:val="00E366DC"/>
    <w:rsid w:val="00E36C0E"/>
    <w:rsid w:val="00E401E1"/>
    <w:rsid w:val="00E40FA0"/>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A4F"/>
    <w:rsid w:val="00E84F42"/>
    <w:rsid w:val="00E874EC"/>
    <w:rsid w:val="00E9416D"/>
    <w:rsid w:val="00E946D3"/>
    <w:rsid w:val="00E94963"/>
    <w:rsid w:val="00E94CA1"/>
    <w:rsid w:val="00E94ED5"/>
    <w:rsid w:val="00E95326"/>
    <w:rsid w:val="00E966F0"/>
    <w:rsid w:val="00E969C2"/>
    <w:rsid w:val="00E9701A"/>
    <w:rsid w:val="00E975EB"/>
    <w:rsid w:val="00E975EE"/>
    <w:rsid w:val="00EA0110"/>
    <w:rsid w:val="00EA0E35"/>
    <w:rsid w:val="00EA2FEC"/>
    <w:rsid w:val="00EA385D"/>
    <w:rsid w:val="00EA4D4C"/>
    <w:rsid w:val="00EA5D83"/>
    <w:rsid w:val="00EA68B5"/>
    <w:rsid w:val="00EA6937"/>
    <w:rsid w:val="00EA6CB3"/>
    <w:rsid w:val="00EB083C"/>
    <w:rsid w:val="00EB266D"/>
    <w:rsid w:val="00EB282D"/>
    <w:rsid w:val="00EB2D74"/>
    <w:rsid w:val="00EB40B7"/>
    <w:rsid w:val="00EB579C"/>
    <w:rsid w:val="00EB7719"/>
    <w:rsid w:val="00EC14CF"/>
    <w:rsid w:val="00EC4A5A"/>
    <w:rsid w:val="00EC51C6"/>
    <w:rsid w:val="00EC5D67"/>
    <w:rsid w:val="00ED026A"/>
    <w:rsid w:val="00ED02E7"/>
    <w:rsid w:val="00ED26E7"/>
    <w:rsid w:val="00ED32F7"/>
    <w:rsid w:val="00ED4209"/>
    <w:rsid w:val="00ED4CDD"/>
    <w:rsid w:val="00ED6A41"/>
    <w:rsid w:val="00ED7FE3"/>
    <w:rsid w:val="00EE096D"/>
    <w:rsid w:val="00EE4B32"/>
    <w:rsid w:val="00EE5CD9"/>
    <w:rsid w:val="00EE5F58"/>
    <w:rsid w:val="00EE636D"/>
    <w:rsid w:val="00EE7116"/>
    <w:rsid w:val="00EF1C94"/>
    <w:rsid w:val="00EF27E0"/>
    <w:rsid w:val="00EF2D4F"/>
    <w:rsid w:val="00EF3C02"/>
    <w:rsid w:val="00EF6589"/>
    <w:rsid w:val="00EF6CF1"/>
    <w:rsid w:val="00EF7BEC"/>
    <w:rsid w:val="00F001C8"/>
    <w:rsid w:val="00F00DD4"/>
    <w:rsid w:val="00F02BC3"/>
    <w:rsid w:val="00F02D1C"/>
    <w:rsid w:val="00F04B8E"/>
    <w:rsid w:val="00F05E65"/>
    <w:rsid w:val="00F13D55"/>
    <w:rsid w:val="00F1492A"/>
    <w:rsid w:val="00F14E8D"/>
    <w:rsid w:val="00F15969"/>
    <w:rsid w:val="00F167CD"/>
    <w:rsid w:val="00F16C99"/>
    <w:rsid w:val="00F17039"/>
    <w:rsid w:val="00F17923"/>
    <w:rsid w:val="00F17AFE"/>
    <w:rsid w:val="00F21FF5"/>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0EC6"/>
    <w:rsid w:val="00F41A87"/>
    <w:rsid w:val="00F41F4B"/>
    <w:rsid w:val="00F44790"/>
    <w:rsid w:val="00F462B3"/>
    <w:rsid w:val="00F465DD"/>
    <w:rsid w:val="00F46B43"/>
    <w:rsid w:val="00F4715E"/>
    <w:rsid w:val="00F47A5E"/>
    <w:rsid w:val="00F47E8E"/>
    <w:rsid w:val="00F47EA1"/>
    <w:rsid w:val="00F50ABF"/>
    <w:rsid w:val="00F50E37"/>
    <w:rsid w:val="00F50E7C"/>
    <w:rsid w:val="00F511C9"/>
    <w:rsid w:val="00F53E52"/>
    <w:rsid w:val="00F56AD6"/>
    <w:rsid w:val="00F573EC"/>
    <w:rsid w:val="00F57500"/>
    <w:rsid w:val="00F60106"/>
    <w:rsid w:val="00F62A0A"/>
    <w:rsid w:val="00F63B0D"/>
    <w:rsid w:val="00F643DE"/>
    <w:rsid w:val="00F65787"/>
    <w:rsid w:val="00F675A0"/>
    <w:rsid w:val="00F70BF8"/>
    <w:rsid w:val="00F7216B"/>
    <w:rsid w:val="00F72FBB"/>
    <w:rsid w:val="00F770B7"/>
    <w:rsid w:val="00F8082E"/>
    <w:rsid w:val="00F878CA"/>
    <w:rsid w:val="00F87B97"/>
    <w:rsid w:val="00F90386"/>
    <w:rsid w:val="00F9039B"/>
    <w:rsid w:val="00F90F81"/>
    <w:rsid w:val="00F91F29"/>
    <w:rsid w:val="00F922E2"/>
    <w:rsid w:val="00F92685"/>
    <w:rsid w:val="00F938C8"/>
    <w:rsid w:val="00F94697"/>
    <w:rsid w:val="00F9600D"/>
    <w:rsid w:val="00F97995"/>
    <w:rsid w:val="00FA25C3"/>
    <w:rsid w:val="00FA2D85"/>
    <w:rsid w:val="00FA311F"/>
    <w:rsid w:val="00FA55E3"/>
    <w:rsid w:val="00FA5612"/>
    <w:rsid w:val="00FB18B0"/>
    <w:rsid w:val="00FB1C22"/>
    <w:rsid w:val="00FB1F2A"/>
    <w:rsid w:val="00FB282A"/>
    <w:rsid w:val="00FB31B3"/>
    <w:rsid w:val="00FB5261"/>
    <w:rsid w:val="00FB6366"/>
    <w:rsid w:val="00FB68E1"/>
    <w:rsid w:val="00FC24D9"/>
    <w:rsid w:val="00FC40F7"/>
    <w:rsid w:val="00FC5940"/>
    <w:rsid w:val="00FC61A9"/>
    <w:rsid w:val="00FC692F"/>
    <w:rsid w:val="00FC6B22"/>
    <w:rsid w:val="00FC7791"/>
    <w:rsid w:val="00FD06A4"/>
    <w:rsid w:val="00FD2CB2"/>
    <w:rsid w:val="00FD3CF2"/>
    <w:rsid w:val="00FD5160"/>
    <w:rsid w:val="00FD549D"/>
    <w:rsid w:val="00FD5814"/>
    <w:rsid w:val="00FD5925"/>
    <w:rsid w:val="00FD622D"/>
    <w:rsid w:val="00FD69DD"/>
    <w:rsid w:val="00FD7142"/>
    <w:rsid w:val="00FD7CB4"/>
    <w:rsid w:val="00FD7FA8"/>
    <w:rsid w:val="00FE0B91"/>
    <w:rsid w:val="00FE1BFC"/>
    <w:rsid w:val="00FE1DAF"/>
    <w:rsid w:val="00FE2052"/>
    <w:rsid w:val="00FE33F7"/>
    <w:rsid w:val="00FE375B"/>
    <w:rsid w:val="00FE3983"/>
    <w:rsid w:val="00FF0047"/>
    <w:rsid w:val="00FF15B5"/>
    <w:rsid w:val="00FF1AFB"/>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833"/>
    <w:pPr>
      <w:tabs>
        <w:tab w:val="center" w:pos="4536"/>
        <w:tab w:val="right" w:pos="9072"/>
      </w:tabs>
    </w:pPr>
  </w:style>
  <w:style w:type="character" w:customStyle="1" w:styleId="KopfzeileZchn">
    <w:name w:val="Kopfzeile Zchn"/>
    <w:basedOn w:val="Absatz-Standardschriftart"/>
    <w:link w:val="Kopfzeile"/>
    <w:uiPriority w:val="99"/>
    <w:rsid w:val="009A083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A0833"/>
    <w:pPr>
      <w:tabs>
        <w:tab w:val="center" w:pos="4536"/>
        <w:tab w:val="right" w:pos="9072"/>
      </w:tabs>
    </w:pPr>
  </w:style>
  <w:style w:type="character" w:customStyle="1" w:styleId="FuzeileZchn">
    <w:name w:val="Fußzeile Zchn"/>
    <w:basedOn w:val="Absatz-Standardschriftart"/>
    <w:link w:val="Fuzeile"/>
    <w:uiPriority w:val="99"/>
    <w:rsid w:val="009A083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08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Kommentarzeichen">
    <w:name w:val="annotation reference"/>
    <w:basedOn w:val="Absatz-Standardschriftart"/>
    <w:uiPriority w:val="99"/>
    <w:semiHidden/>
    <w:unhideWhenUsed/>
    <w:rsid w:val="001D5B2B"/>
    <w:rPr>
      <w:sz w:val="16"/>
      <w:szCs w:val="16"/>
    </w:rPr>
  </w:style>
  <w:style w:type="paragraph" w:styleId="Kommentartext">
    <w:name w:val="annotation text"/>
    <w:basedOn w:val="Standard"/>
    <w:link w:val="KommentartextZchn"/>
    <w:uiPriority w:val="99"/>
    <w:semiHidden/>
    <w:unhideWhenUsed/>
    <w:rsid w:val="001D5B2B"/>
    <w:rPr>
      <w:sz w:val="20"/>
      <w:szCs w:val="20"/>
    </w:rPr>
  </w:style>
  <w:style w:type="character" w:customStyle="1" w:styleId="KommentartextZchn">
    <w:name w:val="Kommentartext Zchn"/>
    <w:basedOn w:val="Absatz-Standardschriftart"/>
    <w:link w:val="Kommentartext"/>
    <w:uiPriority w:val="99"/>
    <w:semiHidden/>
    <w:rsid w:val="001D5B2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5B2B"/>
    <w:rPr>
      <w:b/>
      <w:bCs/>
    </w:rPr>
  </w:style>
  <w:style w:type="character" w:customStyle="1" w:styleId="KommentarthemaZchn">
    <w:name w:val="Kommentarthema Zchn"/>
    <w:basedOn w:val="KommentartextZchn"/>
    <w:link w:val="Kommentarthema"/>
    <w:uiPriority w:val="99"/>
    <w:semiHidden/>
    <w:rsid w:val="001D5B2B"/>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33"/>
    <w:pPr>
      <w:tabs>
        <w:tab w:val="center" w:pos="4536"/>
        <w:tab w:val="right" w:pos="9072"/>
      </w:tabs>
    </w:pPr>
  </w:style>
  <w:style w:type="character" w:customStyle="1" w:styleId="HeaderChar">
    <w:name w:val="Header Char"/>
    <w:basedOn w:val="DefaultParagraphFont"/>
    <w:link w:val="Header"/>
    <w:uiPriority w:val="99"/>
    <w:rsid w:val="009A083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9A0833"/>
    <w:pPr>
      <w:tabs>
        <w:tab w:val="center" w:pos="4536"/>
        <w:tab w:val="right" w:pos="9072"/>
      </w:tabs>
    </w:pPr>
  </w:style>
  <w:style w:type="character" w:customStyle="1" w:styleId="FooterChar">
    <w:name w:val="Footer Char"/>
    <w:basedOn w:val="DefaultParagraphFont"/>
    <w:link w:val="Footer"/>
    <w:uiPriority w:val="99"/>
    <w:rsid w:val="009A0833"/>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A0833"/>
    <w:rPr>
      <w:rFonts w:ascii="Tahoma" w:hAnsi="Tahoma" w:cs="Tahoma"/>
      <w:sz w:val="16"/>
      <w:szCs w:val="16"/>
    </w:rPr>
  </w:style>
  <w:style w:type="character" w:customStyle="1" w:styleId="BalloonTextChar">
    <w:name w:val="Balloon Text Char"/>
    <w:basedOn w:val="DefaultParagraphFont"/>
    <w:link w:val="Balloo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CommentReference">
    <w:name w:val="annotation reference"/>
    <w:basedOn w:val="DefaultParagraphFont"/>
    <w:uiPriority w:val="99"/>
    <w:semiHidden/>
    <w:unhideWhenUsed/>
    <w:rsid w:val="001D5B2B"/>
    <w:rPr>
      <w:sz w:val="16"/>
      <w:szCs w:val="16"/>
    </w:rPr>
  </w:style>
  <w:style w:type="paragraph" w:styleId="CommentText">
    <w:name w:val="annotation text"/>
    <w:basedOn w:val="Normal"/>
    <w:link w:val="CommentTextChar"/>
    <w:uiPriority w:val="99"/>
    <w:semiHidden/>
    <w:unhideWhenUsed/>
    <w:rsid w:val="001D5B2B"/>
    <w:rPr>
      <w:sz w:val="20"/>
      <w:szCs w:val="20"/>
    </w:rPr>
  </w:style>
  <w:style w:type="character" w:customStyle="1" w:styleId="CommentTextChar">
    <w:name w:val="Comment Text Char"/>
    <w:basedOn w:val="DefaultParagraphFont"/>
    <w:link w:val="CommentText"/>
    <w:uiPriority w:val="99"/>
    <w:semiHidden/>
    <w:rsid w:val="001D5B2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D5B2B"/>
    <w:rPr>
      <w:b/>
      <w:bCs/>
    </w:rPr>
  </w:style>
  <w:style w:type="character" w:customStyle="1" w:styleId="CommentSubjectChar">
    <w:name w:val="Comment Subject Char"/>
    <w:basedOn w:val="CommentTextChar"/>
    <w:link w:val="CommentSubject"/>
    <w:uiPriority w:val="99"/>
    <w:semiHidden/>
    <w:rsid w:val="001D5B2B"/>
    <w:rPr>
      <w:rFonts w:ascii="Times New Roman" w:eastAsia="Times New Roman" w:hAnsi="Times New Roman"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19993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arald.schenk@medical-media-consulting.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arbara.uban@medical-media-consulting.at"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christian.egarter@meduniwien.ac.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3004-061D-4DD1-9E86-86CE6F9F5F2A}">
  <ds:schemaRefs>
    <ds:schemaRef ds:uri="http://schemas.openxmlformats.org/officeDocument/2006/bibliography"/>
  </ds:schemaRefs>
</ds:datastoreItem>
</file>

<file path=customXml/itemProps2.xml><?xml version="1.0" encoding="utf-8"?>
<ds:datastoreItem xmlns:ds="http://schemas.openxmlformats.org/officeDocument/2006/customXml" ds:itemID="{16100652-8782-40CA-9BC6-DD4D6CACA505}">
  <ds:schemaRefs>
    <ds:schemaRef ds:uri="http://schemas.openxmlformats.org/officeDocument/2006/bibliography"/>
  </ds:schemaRefs>
</ds:datastoreItem>
</file>

<file path=customXml/itemProps3.xml><?xml version="1.0" encoding="utf-8"?>
<ds:datastoreItem xmlns:ds="http://schemas.openxmlformats.org/officeDocument/2006/customXml" ds:itemID="{6C0F8E43-2861-4EBA-999A-ED78E911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 Office</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2016-04-27T15:42:00Z</cp:lastPrinted>
  <dcterms:created xsi:type="dcterms:W3CDTF">2016-03-29T09:15:00Z</dcterms:created>
  <dcterms:modified xsi:type="dcterms:W3CDTF">2016-04-27T15:47:00Z</dcterms:modified>
</cp:coreProperties>
</file>