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06" w:rsidRDefault="00C90406" w:rsidP="00C90406">
      <w:pPr>
        <w:tabs>
          <w:tab w:val="left" w:pos="900"/>
        </w:tabs>
        <w:rPr>
          <w:rFonts w:ascii="Arial" w:hAnsi="Arial"/>
          <w:b/>
          <w:lang w:val="en-US"/>
        </w:rPr>
      </w:pPr>
    </w:p>
    <w:p w:rsidR="00C90406" w:rsidRDefault="00C90406" w:rsidP="00C90406">
      <w:pPr>
        <w:tabs>
          <w:tab w:val="left" w:pos="900"/>
        </w:tabs>
        <w:rPr>
          <w:rFonts w:ascii="Arial" w:hAnsi="Arial"/>
          <w:b/>
          <w:lang w:val="en-US"/>
        </w:rPr>
      </w:pPr>
    </w:p>
    <w:p w:rsidR="001E7F87" w:rsidRPr="00BF5777" w:rsidRDefault="001E7F87" w:rsidP="001E7F87">
      <w:pPr>
        <w:spacing w:after="120" w:line="312" w:lineRule="auto"/>
        <w:rPr>
          <w:rFonts w:asciiTheme="minorBidi" w:hAnsiTheme="minorBidi" w:cstheme="minorBidi"/>
          <w:b/>
          <w:sz w:val="28"/>
        </w:rPr>
      </w:pPr>
      <w:r w:rsidRPr="00BF5777">
        <w:rPr>
          <w:rFonts w:asciiTheme="minorBidi" w:hAnsiTheme="minorBidi" w:cstheme="minorBidi"/>
          <w:b/>
          <w:sz w:val="28"/>
        </w:rPr>
        <w:t xml:space="preserve">12 Mythen zum Thema </w:t>
      </w:r>
      <w:proofErr w:type="spellStart"/>
      <w:r>
        <w:rPr>
          <w:rFonts w:asciiTheme="minorBidi" w:hAnsiTheme="minorBidi" w:cstheme="minorBidi"/>
          <w:b/>
          <w:sz w:val="28"/>
        </w:rPr>
        <w:t>menopausale</w:t>
      </w:r>
      <w:proofErr w:type="spellEnd"/>
      <w:r>
        <w:rPr>
          <w:rFonts w:asciiTheme="minorBidi" w:hAnsiTheme="minorBidi" w:cstheme="minorBidi"/>
          <w:b/>
          <w:sz w:val="28"/>
        </w:rPr>
        <w:t xml:space="preserve"> Hormontherapie (MHT)</w:t>
      </w:r>
    </w:p>
    <w:p w:rsidR="001E7F87" w:rsidRPr="00BF5777" w:rsidRDefault="001E7F87" w:rsidP="001E7F87">
      <w:pPr>
        <w:spacing w:before="240" w:after="120" w:line="312" w:lineRule="auto"/>
        <w:rPr>
          <w:rFonts w:ascii="Arial" w:hAnsi="Arial"/>
          <w:b/>
          <w:sz w:val="22"/>
          <w:szCs w:val="22"/>
        </w:rPr>
      </w:pPr>
      <w:r w:rsidRPr="00BF5777">
        <w:rPr>
          <w:rFonts w:ascii="Arial" w:hAnsi="Arial"/>
          <w:b/>
          <w:sz w:val="22"/>
          <w:szCs w:val="22"/>
        </w:rPr>
        <w:t>Mythos 1: Ich muss klimakterische Beschwerden einfach aushalten. MHT ist nicht notwendig, macht krank und ist gefährlich.</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 xml:space="preserve">Falsch! Die MHT stellt nach wie vor die wirksamste Methode zur Behandlung klimakterischer Beschwerden dar. </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 xml:space="preserve">Sie sollte dann zum Einsatz kommen, wenn Wechselbeschwerden vorliegen, die die Lebensqualität der Frau beeinträchtigen. Die MHT muss dabei an die individuelle Situation der Patientin angepasst werden: Sie sollte, solange die Beschwerden andauern, mit der individuell </w:t>
      </w:r>
      <w:proofErr w:type="spellStart"/>
      <w:r w:rsidRPr="00BF5777">
        <w:rPr>
          <w:rFonts w:ascii="Arial" w:hAnsi="Arial"/>
          <w:sz w:val="22"/>
          <w:szCs w:val="22"/>
        </w:rPr>
        <w:t>niedrigst</w:t>
      </w:r>
      <w:proofErr w:type="spellEnd"/>
      <w:r w:rsidRPr="00BF5777">
        <w:rPr>
          <w:rFonts w:ascii="Arial" w:hAnsi="Arial"/>
          <w:sz w:val="22"/>
          <w:szCs w:val="22"/>
        </w:rPr>
        <w:t xml:space="preserve"> möglichen Dosis durchgeführt werden. Der Anwendung der MHT muss die Erstellung eines individuellen Risikoprofils mit klarer Indikationsstellung vorangehen. Lebensstilanpassungen (Nikotinabsenz, Gewichtsregulation, Bewegung etc.) und regelmäßige fachärztliche Kontrollen müssen die MHT begleiten.</w:t>
      </w:r>
    </w:p>
    <w:p w:rsidR="001E7F87" w:rsidRPr="00BF5777" w:rsidRDefault="001E7F87" w:rsidP="001E7F87">
      <w:pPr>
        <w:spacing w:before="240" w:after="120" w:line="312" w:lineRule="auto"/>
        <w:rPr>
          <w:rFonts w:ascii="Arial" w:hAnsi="Arial"/>
          <w:b/>
          <w:sz w:val="22"/>
          <w:szCs w:val="22"/>
        </w:rPr>
      </w:pPr>
      <w:r w:rsidRPr="00BF5777">
        <w:rPr>
          <w:rFonts w:ascii="Arial" w:hAnsi="Arial"/>
          <w:b/>
          <w:sz w:val="22"/>
          <w:szCs w:val="22"/>
        </w:rPr>
        <w:t>Mythos 2: Hormone erhöhen das Brustkrebsrisiko</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Falsch! Es gibt keinen Beweis, dass eine MHT kausal Brustkrebs auslösen könnte. Die derzeitige Datenlage spricht nur gegen den Einsatz einer MHT, wenn eine Frau bereits an Brustkrebs erkrankt ist oder war.</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 xml:space="preserve">Das Risiko, unter Anwendung einer </w:t>
      </w:r>
      <w:r>
        <w:rPr>
          <w:rFonts w:ascii="Arial" w:hAnsi="Arial"/>
          <w:sz w:val="22"/>
          <w:szCs w:val="22"/>
        </w:rPr>
        <w:t xml:space="preserve">MHT </w:t>
      </w:r>
      <w:r w:rsidRPr="00BF5777">
        <w:rPr>
          <w:rFonts w:ascii="Arial" w:hAnsi="Arial"/>
          <w:sz w:val="22"/>
          <w:szCs w:val="22"/>
        </w:rPr>
        <w:t xml:space="preserve">an einem </w:t>
      </w:r>
      <w:proofErr w:type="spellStart"/>
      <w:r w:rsidRPr="00BF5777">
        <w:rPr>
          <w:rFonts w:ascii="Arial" w:hAnsi="Arial"/>
          <w:sz w:val="22"/>
          <w:szCs w:val="22"/>
        </w:rPr>
        <w:t>Mammakarzinom</w:t>
      </w:r>
      <w:proofErr w:type="spellEnd"/>
      <w:r w:rsidRPr="00BF5777">
        <w:rPr>
          <w:rFonts w:ascii="Arial" w:hAnsi="Arial"/>
          <w:sz w:val="22"/>
          <w:szCs w:val="22"/>
        </w:rPr>
        <w:t xml:space="preserve"> zu erkranken, ist mit einer In</w:t>
      </w:r>
      <w:r>
        <w:rPr>
          <w:rFonts w:ascii="Arial" w:hAnsi="Arial"/>
          <w:sz w:val="22"/>
          <w:szCs w:val="22"/>
        </w:rPr>
        <w:t>zidenz von weniger als</w:t>
      </w:r>
      <w:r w:rsidRPr="00BF5777">
        <w:rPr>
          <w:rFonts w:ascii="Arial" w:hAnsi="Arial"/>
          <w:sz w:val="22"/>
          <w:szCs w:val="22"/>
        </w:rPr>
        <w:t xml:space="preserve"> 1 pro 1.000 Frauen pro Jahr gering. Es ist geringer als das Risiko, das mit Lebensstilfaktoren wie zu wenig Sport, zu viel Gewicht oder Alkoholkonsum assoziiert ist. </w:t>
      </w:r>
    </w:p>
    <w:p w:rsidR="001E7F87" w:rsidRPr="00BF5777" w:rsidRDefault="001E7F87" w:rsidP="001E7F87">
      <w:pPr>
        <w:spacing w:before="240" w:after="120" w:line="312" w:lineRule="auto"/>
        <w:rPr>
          <w:rFonts w:ascii="Arial" w:hAnsi="Arial"/>
          <w:b/>
          <w:sz w:val="22"/>
          <w:szCs w:val="22"/>
        </w:rPr>
      </w:pPr>
      <w:r w:rsidRPr="00BF5777">
        <w:rPr>
          <w:rFonts w:ascii="Arial" w:hAnsi="Arial"/>
          <w:b/>
          <w:sz w:val="22"/>
          <w:szCs w:val="22"/>
        </w:rPr>
        <w:t>Mythos 3: Wer eine MHT erhält, muss damit rechnen, einen Herzinfarkt oder Schlaganfall zu bekommen.</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 xml:space="preserve">Falsch! Das sogenannte </w:t>
      </w:r>
      <w:proofErr w:type="spellStart"/>
      <w:r w:rsidRPr="00BF5777">
        <w:rPr>
          <w:rFonts w:ascii="Arial" w:hAnsi="Arial"/>
          <w:sz w:val="22"/>
          <w:szCs w:val="22"/>
        </w:rPr>
        <w:t>Window</w:t>
      </w:r>
      <w:proofErr w:type="spellEnd"/>
      <w:r w:rsidRPr="00BF5777">
        <w:rPr>
          <w:rFonts w:ascii="Arial" w:hAnsi="Arial"/>
          <w:sz w:val="22"/>
          <w:szCs w:val="22"/>
        </w:rPr>
        <w:t xml:space="preserve"> of </w:t>
      </w:r>
      <w:proofErr w:type="spellStart"/>
      <w:r w:rsidRPr="00BF5777">
        <w:rPr>
          <w:rFonts w:ascii="Arial" w:hAnsi="Arial"/>
          <w:sz w:val="22"/>
          <w:szCs w:val="22"/>
        </w:rPr>
        <w:t>Opportunity</w:t>
      </w:r>
      <w:proofErr w:type="spellEnd"/>
      <w:r w:rsidRPr="00BF5777">
        <w:rPr>
          <w:rFonts w:ascii="Arial" w:hAnsi="Arial"/>
          <w:sz w:val="22"/>
          <w:szCs w:val="22"/>
        </w:rPr>
        <w:t xml:space="preserve"> (= Beginn der Therapie vor dem 60. Lebensjahr oder in den ersten </w:t>
      </w:r>
      <w:r>
        <w:rPr>
          <w:rFonts w:ascii="Arial" w:hAnsi="Arial"/>
          <w:sz w:val="22"/>
          <w:szCs w:val="22"/>
        </w:rPr>
        <w:t>zehn</w:t>
      </w:r>
      <w:r w:rsidRPr="00BF5777">
        <w:rPr>
          <w:rFonts w:ascii="Arial" w:hAnsi="Arial"/>
          <w:sz w:val="22"/>
          <w:szCs w:val="22"/>
        </w:rPr>
        <w:t xml:space="preserve"> Jahren nach der Menopause) wirkt sich </w:t>
      </w:r>
      <w:r>
        <w:rPr>
          <w:rFonts w:ascii="Arial" w:hAnsi="Arial"/>
          <w:sz w:val="22"/>
          <w:szCs w:val="22"/>
        </w:rPr>
        <w:t xml:space="preserve">bei gesunden Frauen </w:t>
      </w:r>
      <w:proofErr w:type="spellStart"/>
      <w:r w:rsidRPr="00BF5777">
        <w:rPr>
          <w:rFonts w:ascii="Arial" w:hAnsi="Arial"/>
          <w:sz w:val="22"/>
          <w:szCs w:val="22"/>
        </w:rPr>
        <w:t>günstig</w:t>
      </w:r>
      <w:proofErr w:type="spellEnd"/>
      <w:r w:rsidRPr="00BF5777">
        <w:rPr>
          <w:rFonts w:ascii="Arial" w:hAnsi="Arial"/>
          <w:sz w:val="22"/>
          <w:szCs w:val="22"/>
        </w:rPr>
        <w:t xml:space="preserve"> auf die Herz-Kreislauf-Situation aus, sodass die MHT hier potenziell als </w:t>
      </w:r>
      <w:proofErr w:type="spellStart"/>
      <w:r w:rsidRPr="00BF5777">
        <w:rPr>
          <w:rFonts w:ascii="Arial" w:hAnsi="Arial"/>
          <w:sz w:val="22"/>
          <w:szCs w:val="22"/>
        </w:rPr>
        <w:t>kardioprotektiv</w:t>
      </w:r>
      <w:proofErr w:type="spellEnd"/>
      <w:r w:rsidRPr="00BF5777">
        <w:rPr>
          <w:rFonts w:ascii="Arial" w:hAnsi="Arial"/>
          <w:sz w:val="22"/>
          <w:szCs w:val="22"/>
        </w:rPr>
        <w:t xml:space="preserve"> einzustufen ist.</w:t>
      </w:r>
    </w:p>
    <w:p w:rsidR="001E7F87" w:rsidRPr="00BF5777" w:rsidRDefault="001E7F87" w:rsidP="001E7F87">
      <w:pPr>
        <w:spacing w:before="240" w:after="120" w:line="312" w:lineRule="auto"/>
        <w:rPr>
          <w:rFonts w:ascii="Arial" w:hAnsi="Arial"/>
          <w:b/>
          <w:sz w:val="22"/>
          <w:szCs w:val="22"/>
        </w:rPr>
      </w:pPr>
      <w:r w:rsidRPr="00BF5777">
        <w:rPr>
          <w:rFonts w:ascii="Arial" w:hAnsi="Arial"/>
          <w:b/>
          <w:sz w:val="22"/>
          <w:szCs w:val="22"/>
        </w:rPr>
        <w:t>Mythos 4: Hormone machen dick.</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Falsch! Die durch die MHT dem Körper zugeführten Hormone machen nicht dick! Nur körperliche Inaktivität, fehlendes Muskeltraining, falsche Ernährung und natürliche evolutionsbedingte physiologische Veränderungen des Körpers führen zu einer Zunahme des Körpergewichts.</w:t>
      </w:r>
    </w:p>
    <w:p w:rsidR="001E7F87" w:rsidRPr="00BF5777" w:rsidRDefault="001E7F87" w:rsidP="001E7F87">
      <w:pPr>
        <w:spacing w:before="240" w:after="120" w:line="312" w:lineRule="auto"/>
        <w:rPr>
          <w:rFonts w:ascii="Arial" w:hAnsi="Arial"/>
          <w:b/>
          <w:sz w:val="22"/>
          <w:szCs w:val="22"/>
        </w:rPr>
      </w:pPr>
      <w:r w:rsidRPr="00BF5777">
        <w:rPr>
          <w:rFonts w:ascii="Arial" w:hAnsi="Arial"/>
          <w:b/>
          <w:sz w:val="22"/>
          <w:szCs w:val="22"/>
        </w:rPr>
        <w:lastRenderedPageBreak/>
        <w:t>Mythos 5: Wenn ich eine MHT nehme, dann maximal für ein Jahr.</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 xml:space="preserve">Falsch! Eine Hormoneinnahme – bei vorliegenden Wechselbeschwerden – hat keine zeitliche Begrenzung! Dosis und Dauer der MHT sollten individualisiert sein und im Einklang mit den Behandlungszielen und Sicherheitsaspekten stehen. Eine regelmäßige fachärztliche Kontrolle ist dabei also unerlässlich. </w:t>
      </w:r>
    </w:p>
    <w:p w:rsidR="001E7F87" w:rsidRPr="00BF5777" w:rsidRDefault="001E7F87" w:rsidP="001E7F87">
      <w:pPr>
        <w:spacing w:before="240" w:after="120" w:line="312" w:lineRule="auto"/>
        <w:rPr>
          <w:rFonts w:ascii="Arial" w:hAnsi="Arial"/>
          <w:b/>
          <w:sz w:val="22"/>
          <w:szCs w:val="22"/>
        </w:rPr>
      </w:pPr>
      <w:r w:rsidRPr="00BF5777">
        <w:rPr>
          <w:rFonts w:ascii="Arial" w:hAnsi="Arial"/>
          <w:b/>
          <w:sz w:val="22"/>
          <w:szCs w:val="22"/>
        </w:rPr>
        <w:t>Mythos 6: Wenn ich keine Hitzewallungen habe, habe ich ja gar keine klimakterischen Beschwerden.</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Falsch! Neben Hitzewallungen zählen folgende Symptome zu den typischen Wechselbeschwerden: Unregelmäßige bzw. lange andauernde Blutungen, Schweißausbrüche, Schlafstörungen, Leistungsminderung, depressive Verstimmung, Gereiztheit, Gelenk- und Muskelschmerzen, Konzentrationsstörungen, nachlassende Gedächtnisleistung, Abnahme der Libido, Schleimhauttrockenheit.</w:t>
      </w:r>
    </w:p>
    <w:p w:rsidR="001E7F87" w:rsidRPr="00BF5777" w:rsidRDefault="001E7F87" w:rsidP="001E7F87">
      <w:pPr>
        <w:spacing w:before="240" w:after="120" w:line="312" w:lineRule="auto"/>
        <w:rPr>
          <w:rFonts w:ascii="Arial" w:hAnsi="Arial"/>
          <w:b/>
          <w:sz w:val="22"/>
          <w:szCs w:val="22"/>
        </w:rPr>
      </w:pPr>
      <w:r w:rsidRPr="00BF5777">
        <w:rPr>
          <w:rFonts w:ascii="Arial" w:hAnsi="Arial"/>
          <w:b/>
          <w:sz w:val="22"/>
          <w:szCs w:val="22"/>
        </w:rPr>
        <w:t>Mythos 7: Ich muss akzeptieren, dass ich weniger sexuelles Verlangen habe und Sex oft unangenehm ist.</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 xml:space="preserve">Falsch! Scheidentrockenheit äußert sich in </w:t>
      </w:r>
      <w:r>
        <w:rPr>
          <w:rFonts w:ascii="Arial" w:hAnsi="Arial"/>
          <w:sz w:val="22"/>
          <w:szCs w:val="22"/>
        </w:rPr>
        <w:t xml:space="preserve">Form von </w:t>
      </w:r>
      <w:r w:rsidRPr="00BF5777">
        <w:rPr>
          <w:rFonts w:ascii="Arial" w:hAnsi="Arial"/>
          <w:sz w:val="22"/>
          <w:szCs w:val="22"/>
        </w:rPr>
        <w:t>Trockenheit, Brennen, Juckreiz und Schmerzen beim Geschlechtsverkehr. Sie stellt einen Risikofaktor für Infektionskrankheiten dar und gleichzeitig können Beschwerden der Harnwege auftreten. Bis zu 40% der postmenopausalen Frauen leiden daran. Hier ist eine niedrig dosierte, lokal anzuwendende Östrogen-Ersatztherapie da</w:t>
      </w:r>
      <w:r>
        <w:rPr>
          <w:rFonts w:ascii="Arial" w:hAnsi="Arial"/>
          <w:sz w:val="22"/>
          <w:szCs w:val="22"/>
        </w:rPr>
        <w:t>s Mittel der Wahl. Liegen keine</w:t>
      </w:r>
      <w:r w:rsidRPr="00BF5777">
        <w:rPr>
          <w:rFonts w:ascii="Arial" w:hAnsi="Arial"/>
          <w:sz w:val="22"/>
          <w:szCs w:val="22"/>
        </w:rPr>
        <w:t xml:space="preserve"> anderen Beschwerden und Risikofaktoren vor, ist hier keine zusätzliche </w:t>
      </w:r>
      <w:proofErr w:type="spellStart"/>
      <w:r w:rsidRPr="00BF5777">
        <w:rPr>
          <w:rFonts w:ascii="Arial" w:hAnsi="Arial"/>
          <w:sz w:val="22"/>
          <w:szCs w:val="22"/>
        </w:rPr>
        <w:t>Gestagengabe</w:t>
      </w:r>
      <w:proofErr w:type="spellEnd"/>
      <w:r w:rsidRPr="00BF5777">
        <w:rPr>
          <w:rFonts w:ascii="Arial" w:hAnsi="Arial"/>
          <w:sz w:val="22"/>
          <w:szCs w:val="22"/>
        </w:rPr>
        <w:t xml:space="preserve"> erforderlich.</w:t>
      </w:r>
    </w:p>
    <w:p w:rsidR="001E7F87" w:rsidRPr="00BF5777" w:rsidRDefault="001E7F87" w:rsidP="001E7F87">
      <w:pPr>
        <w:spacing w:before="240" w:after="120" w:line="312" w:lineRule="auto"/>
        <w:rPr>
          <w:rFonts w:ascii="Arial" w:hAnsi="Arial"/>
          <w:b/>
          <w:sz w:val="22"/>
          <w:szCs w:val="22"/>
        </w:rPr>
      </w:pPr>
      <w:r w:rsidRPr="00BF5777">
        <w:rPr>
          <w:rFonts w:ascii="Arial" w:hAnsi="Arial"/>
          <w:b/>
          <w:sz w:val="22"/>
          <w:szCs w:val="22"/>
        </w:rPr>
        <w:t>Mythos 8: Mit der Einnahme von Hormonen bleibe ich ewig jung. Sie sind DAS „Anti-</w:t>
      </w:r>
      <w:proofErr w:type="spellStart"/>
      <w:r w:rsidRPr="00BF5777">
        <w:rPr>
          <w:rFonts w:ascii="Arial" w:hAnsi="Arial"/>
          <w:b/>
          <w:sz w:val="22"/>
          <w:szCs w:val="22"/>
        </w:rPr>
        <w:t>Aging</w:t>
      </w:r>
      <w:proofErr w:type="spellEnd"/>
      <w:r w:rsidRPr="00BF5777">
        <w:rPr>
          <w:rFonts w:ascii="Arial" w:hAnsi="Arial"/>
          <w:b/>
          <w:sz w:val="22"/>
          <w:szCs w:val="22"/>
        </w:rPr>
        <w:t>“-Mittel.</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Falsch! Faltenbildung, Abnahme der Hautdicke und Hauterschlaffung gehören zum natürlichen Alterungsprozess. Hormone sind kein Jungbrunnen! Vom bedenkenlosen Einsatz von Hormonen als „Anti-</w:t>
      </w:r>
      <w:proofErr w:type="spellStart"/>
      <w:r w:rsidRPr="00BF5777">
        <w:rPr>
          <w:rFonts w:ascii="Arial" w:hAnsi="Arial"/>
          <w:sz w:val="22"/>
          <w:szCs w:val="22"/>
        </w:rPr>
        <w:t>Aging</w:t>
      </w:r>
      <w:proofErr w:type="spellEnd"/>
      <w:r w:rsidRPr="00BF5777">
        <w:rPr>
          <w:rFonts w:ascii="Arial" w:hAnsi="Arial"/>
          <w:sz w:val="22"/>
          <w:szCs w:val="22"/>
        </w:rPr>
        <w:t xml:space="preserve">“-Mittel ist dringend abzuraten. </w:t>
      </w:r>
    </w:p>
    <w:p w:rsidR="001E7F87" w:rsidRPr="00BF5777" w:rsidRDefault="001E7F87" w:rsidP="001E7F87">
      <w:pPr>
        <w:spacing w:before="240" w:after="120" w:line="312" w:lineRule="auto"/>
        <w:rPr>
          <w:rFonts w:ascii="Arial" w:hAnsi="Arial"/>
          <w:b/>
          <w:sz w:val="22"/>
          <w:szCs w:val="22"/>
        </w:rPr>
      </w:pPr>
      <w:r w:rsidRPr="00BF5777">
        <w:rPr>
          <w:rFonts w:ascii="Arial" w:hAnsi="Arial"/>
          <w:b/>
          <w:sz w:val="22"/>
          <w:szCs w:val="22"/>
        </w:rPr>
        <w:t>Mythos 9: Wenn ich eine MHT nehme, muss ich mir um meinen Lifestyle keine Sorgen mehr machen.</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Falsch! Ausgewogene Ernährung, ausreichende Bewegung, mäßiger Alkoholkonsum und Verzicht auf Tabakwaren sind trotz MHT unabdingbare Voraussetzungen für ein gesundes Älterwerden.</w:t>
      </w:r>
    </w:p>
    <w:p w:rsidR="001E7F87" w:rsidRPr="00BF5777" w:rsidRDefault="001E7F87" w:rsidP="001E7F87">
      <w:pPr>
        <w:spacing w:before="240" w:after="120" w:line="312" w:lineRule="auto"/>
        <w:rPr>
          <w:rFonts w:ascii="Arial" w:hAnsi="Arial"/>
          <w:b/>
          <w:sz w:val="22"/>
          <w:szCs w:val="22"/>
        </w:rPr>
      </w:pPr>
      <w:r w:rsidRPr="00BF5777">
        <w:rPr>
          <w:rFonts w:ascii="Arial" w:hAnsi="Arial"/>
          <w:b/>
          <w:sz w:val="22"/>
          <w:szCs w:val="22"/>
        </w:rPr>
        <w:t>Mythos 10: Hormone sind viel gefährlicher als Osteoporose.</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 xml:space="preserve">Falsch! Die MHT ist bezüglich der Prävention von </w:t>
      </w:r>
      <w:proofErr w:type="spellStart"/>
      <w:r w:rsidRPr="00BF5777">
        <w:rPr>
          <w:rFonts w:ascii="Arial" w:hAnsi="Arial"/>
          <w:sz w:val="22"/>
          <w:szCs w:val="22"/>
        </w:rPr>
        <w:t>osteoporotischen</w:t>
      </w:r>
      <w:proofErr w:type="spellEnd"/>
      <w:r w:rsidRPr="00BF5777">
        <w:rPr>
          <w:rFonts w:ascii="Arial" w:hAnsi="Arial"/>
          <w:sz w:val="22"/>
          <w:szCs w:val="22"/>
        </w:rPr>
        <w:t xml:space="preserve"> Frakturen bei Frauen mit erhöhtem Risiko vor dem 60. Lebensjahr oder innerhalb von </w:t>
      </w:r>
      <w:r>
        <w:rPr>
          <w:rFonts w:ascii="Arial" w:hAnsi="Arial"/>
          <w:sz w:val="22"/>
          <w:szCs w:val="22"/>
        </w:rPr>
        <w:t>zehn</w:t>
      </w:r>
      <w:r w:rsidRPr="00BF5777">
        <w:rPr>
          <w:rFonts w:ascii="Arial" w:hAnsi="Arial"/>
          <w:sz w:val="22"/>
          <w:szCs w:val="22"/>
        </w:rPr>
        <w:t xml:space="preserve"> Jahren nach der Menopause (</w:t>
      </w:r>
      <w:proofErr w:type="spellStart"/>
      <w:r w:rsidRPr="00BF5777">
        <w:rPr>
          <w:rFonts w:ascii="Arial" w:hAnsi="Arial"/>
          <w:sz w:val="22"/>
          <w:szCs w:val="22"/>
        </w:rPr>
        <w:t>Window</w:t>
      </w:r>
      <w:proofErr w:type="spellEnd"/>
      <w:r w:rsidRPr="00BF5777">
        <w:rPr>
          <w:rFonts w:ascii="Arial" w:hAnsi="Arial"/>
          <w:sz w:val="22"/>
          <w:szCs w:val="22"/>
        </w:rPr>
        <w:t xml:space="preserve"> of </w:t>
      </w:r>
      <w:proofErr w:type="spellStart"/>
      <w:r w:rsidRPr="00BF5777">
        <w:rPr>
          <w:rFonts w:ascii="Arial" w:hAnsi="Arial"/>
          <w:sz w:val="22"/>
          <w:szCs w:val="22"/>
        </w:rPr>
        <w:t>opportunity</w:t>
      </w:r>
      <w:proofErr w:type="spellEnd"/>
      <w:r w:rsidRPr="00BF5777">
        <w:rPr>
          <w:rFonts w:ascii="Arial" w:hAnsi="Arial"/>
          <w:sz w:val="22"/>
          <w:szCs w:val="22"/>
        </w:rPr>
        <w:t>) effektiv und angemessen. MHT stellt – neben ausreichender körperlicher Aktivität, gesundem Lebensstil (Ernährung, Gewichtsregulation, Nikotinabsenz, geringer Alkoholkonsum), ausreichender Zufuhr von Kalzium und Vitamin D – den effektivsten Schutz vor Osteoporose mit all ihren Folgen dar.</w:t>
      </w:r>
    </w:p>
    <w:p w:rsidR="001E7F87" w:rsidRPr="00BF5777" w:rsidRDefault="001E7F87" w:rsidP="00967104">
      <w:pPr>
        <w:spacing w:before="240" w:after="120" w:line="312" w:lineRule="auto"/>
        <w:rPr>
          <w:rFonts w:ascii="Arial" w:hAnsi="Arial"/>
          <w:b/>
          <w:sz w:val="22"/>
          <w:szCs w:val="22"/>
        </w:rPr>
      </w:pPr>
      <w:r w:rsidRPr="00BF5777">
        <w:rPr>
          <w:rFonts w:ascii="Arial" w:hAnsi="Arial"/>
          <w:b/>
          <w:sz w:val="22"/>
          <w:szCs w:val="22"/>
        </w:rPr>
        <w:t xml:space="preserve">Mythos 11: Es ist nie zu spät, sich für eine MHT zu entscheiden. Auch wenn ich erst mit 70 beginne, tut mir das gut. </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Falsch! Entscheidend ist im „</w:t>
      </w:r>
      <w:proofErr w:type="spellStart"/>
      <w:r w:rsidRPr="00BF5777">
        <w:rPr>
          <w:rFonts w:ascii="Arial" w:hAnsi="Arial"/>
          <w:sz w:val="22"/>
          <w:szCs w:val="22"/>
        </w:rPr>
        <w:t>Window</w:t>
      </w:r>
      <w:proofErr w:type="spellEnd"/>
      <w:r w:rsidRPr="00BF5777">
        <w:rPr>
          <w:rFonts w:ascii="Arial" w:hAnsi="Arial"/>
          <w:sz w:val="22"/>
          <w:szCs w:val="22"/>
        </w:rPr>
        <w:t xml:space="preserve"> of </w:t>
      </w:r>
      <w:proofErr w:type="spellStart"/>
      <w:r w:rsidRPr="00BF5777">
        <w:rPr>
          <w:rFonts w:ascii="Arial" w:hAnsi="Arial"/>
          <w:sz w:val="22"/>
          <w:szCs w:val="22"/>
        </w:rPr>
        <w:t>opportuni</w:t>
      </w:r>
      <w:r>
        <w:rPr>
          <w:rFonts w:ascii="Arial" w:hAnsi="Arial"/>
          <w:sz w:val="22"/>
          <w:szCs w:val="22"/>
        </w:rPr>
        <w:t>t</w:t>
      </w:r>
      <w:r w:rsidRPr="00BF5777">
        <w:rPr>
          <w:rFonts w:ascii="Arial" w:hAnsi="Arial"/>
          <w:sz w:val="22"/>
          <w:szCs w:val="22"/>
        </w:rPr>
        <w:t>y</w:t>
      </w:r>
      <w:proofErr w:type="spellEnd"/>
      <w:r w:rsidRPr="00BF5777">
        <w:rPr>
          <w:rFonts w:ascii="Arial" w:hAnsi="Arial"/>
          <w:sz w:val="22"/>
          <w:szCs w:val="22"/>
        </w:rPr>
        <w:t xml:space="preserve">“ zu beginnen, also dass die MHT vor dem 60. Lebensjahr bzw. innerhalb von </w:t>
      </w:r>
      <w:r>
        <w:rPr>
          <w:rFonts w:ascii="Arial" w:hAnsi="Arial"/>
          <w:sz w:val="22"/>
          <w:szCs w:val="22"/>
        </w:rPr>
        <w:t>zehn</w:t>
      </w:r>
      <w:r w:rsidRPr="00BF5777">
        <w:rPr>
          <w:rFonts w:ascii="Arial" w:hAnsi="Arial"/>
          <w:sz w:val="22"/>
          <w:szCs w:val="22"/>
        </w:rPr>
        <w:t xml:space="preserve"> Jahren nach der letzten Menstruationsblutung beginnt.</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 xml:space="preserve">Nur dann und natürlich bei der richtigen Indikation und </w:t>
      </w:r>
      <w:r>
        <w:rPr>
          <w:rFonts w:ascii="Arial" w:hAnsi="Arial"/>
          <w:sz w:val="22"/>
          <w:szCs w:val="22"/>
        </w:rPr>
        <w:t>Berücksichtigung individueller Risikof</w:t>
      </w:r>
      <w:r w:rsidRPr="00BF5777">
        <w:rPr>
          <w:rFonts w:ascii="Arial" w:hAnsi="Arial"/>
          <w:sz w:val="22"/>
          <w:szCs w:val="22"/>
        </w:rPr>
        <w:t xml:space="preserve">aktoren, überwiegt der Nutzen der MHT die damit verbundenen Risiken bei Frauen, die unter Wechselbeschwerden leiden. </w:t>
      </w:r>
    </w:p>
    <w:p w:rsidR="001E7F87" w:rsidRPr="00967104" w:rsidRDefault="001E7F87" w:rsidP="00967104">
      <w:pPr>
        <w:spacing w:before="240" w:after="120" w:line="312" w:lineRule="auto"/>
        <w:rPr>
          <w:rFonts w:ascii="Arial" w:hAnsi="Arial"/>
          <w:b/>
          <w:sz w:val="22"/>
          <w:szCs w:val="22"/>
        </w:rPr>
      </w:pPr>
      <w:r w:rsidRPr="00967104">
        <w:rPr>
          <w:rFonts w:ascii="Arial" w:hAnsi="Arial"/>
          <w:b/>
          <w:sz w:val="22"/>
          <w:szCs w:val="22"/>
        </w:rPr>
        <w:t xml:space="preserve">Mythos 12: Pflanzliche Präparate wirken genauso gut wie die MHT und sind völlig risikolos. </w:t>
      </w:r>
    </w:p>
    <w:p w:rsidR="001E7F87" w:rsidRPr="00BF5777" w:rsidRDefault="001E7F87" w:rsidP="001E7F87">
      <w:pPr>
        <w:spacing w:after="120" w:line="312" w:lineRule="auto"/>
        <w:rPr>
          <w:rFonts w:ascii="Arial" w:hAnsi="Arial"/>
          <w:sz w:val="22"/>
          <w:szCs w:val="22"/>
        </w:rPr>
      </w:pPr>
      <w:r w:rsidRPr="00BF5777">
        <w:rPr>
          <w:rFonts w:ascii="Arial" w:hAnsi="Arial"/>
          <w:sz w:val="22"/>
          <w:szCs w:val="22"/>
        </w:rPr>
        <w:t xml:space="preserve">Falsch! </w:t>
      </w:r>
      <w:proofErr w:type="spellStart"/>
      <w:r w:rsidRPr="00BF5777">
        <w:rPr>
          <w:rFonts w:ascii="Arial" w:hAnsi="Arial"/>
          <w:sz w:val="22"/>
          <w:szCs w:val="22"/>
        </w:rPr>
        <w:t>Phytoöstrogene</w:t>
      </w:r>
      <w:proofErr w:type="spellEnd"/>
      <w:r w:rsidRPr="00BF5777">
        <w:rPr>
          <w:rFonts w:ascii="Arial" w:hAnsi="Arial"/>
          <w:sz w:val="22"/>
          <w:szCs w:val="22"/>
        </w:rPr>
        <w:t xml:space="preserve"> sind, in normaler Dosierung, bei Wechselbeschwerden als wirkungslos einzustufen. Es gibt keine Langzeitstudien, die die Sicherheit von </w:t>
      </w:r>
      <w:proofErr w:type="spellStart"/>
      <w:r w:rsidRPr="00BF5777">
        <w:rPr>
          <w:rFonts w:ascii="Arial" w:hAnsi="Arial"/>
          <w:sz w:val="22"/>
          <w:szCs w:val="22"/>
        </w:rPr>
        <w:t>isoflavonhältigen</w:t>
      </w:r>
      <w:proofErr w:type="spellEnd"/>
      <w:r w:rsidRPr="00BF5777">
        <w:rPr>
          <w:rFonts w:ascii="Arial" w:hAnsi="Arial"/>
          <w:sz w:val="22"/>
          <w:szCs w:val="22"/>
        </w:rPr>
        <w:t xml:space="preserve"> Präparaten belegen.</w:t>
      </w:r>
      <w:r w:rsidRPr="00BF5777">
        <w:rPr>
          <w:rFonts w:ascii="Arial" w:hAnsi="Arial"/>
          <w:sz w:val="22"/>
          <w:szCs w:val="22"/>
          <w:vertAlign w:val="superscript"/>
        </w:rPr>
        <w:footnoteReference w:id="1"/>
      </w:r>
      <w:r w:rsidRPr="00BF5777">
        <w:rPr>
          <w:rFonts w:ascii="Arial" w:hAnsi="Arial"/>
          <w:sz w:val="22"/>
          <w:szCs w:val="22"/>
        </w:rPr>
        <w:t xml:space="preserve"> </w:t>
      </w:r>
    </w:p>
    <w:p w:rsidR="001E7F87" w:rsidRDefault="001E7F87" w:rsidP="001E7F87">
      <w:pPr>
        <w:spacing w:after="120" w:line="312" w:lineRule="auto"/>
        <w:rPr>
          <w:rFonts w:ascii="Arial" w:hAnsi="Arial" w:cs="Arial"/>
          <w:sz w:val="16"/>
          <w:szCs w:val="16"/>
        </w:rPr>
      </w:pPr>
    </w:p>
    <w:p w:rsidR="00C90406" w:rsidRPr="00454C12" w:rsidRDefault="00C90406" w:rsidP="00C90406">
      <w:pPr>
        <w:spacing w:after="120" w:line="312" w:lineRule="auto"/>
        <w:rPr>
          <w:rFonts w:ascii="Arial" w:hAnsi="Arial" w:cs="Arial"/>
          <w:sz w:val="16"/>
          <w:szCs w:val="16"/>
        </w:rPr>
      </w:pPr>
      <w:r>
        <w:rPr>
          <w:rFonts w:ascii="Arial" w:hAnsi="Arial" w:cs="Arial"/>
          <w:sz w:val="16"/>
          <w:szCs w:val="16"/>
        </w:rPr>
        <w:t>1205413-(00)-22032016</w:t>
      </w:r>
    </w:p>
    <w:p w:rsidR="001E7F87" w:rsidRDefault="001E7F87" w:rsidP="001E7F87">
      <w:pPr>
        <w:spacing w:after="120" w:line="312" w:lineRule="auto"/>
        <w:ind w:left="6372" w:firstLine="708"/>
        <w:rPr>
          <w:rFonts w:ascii="Arial" w:hAnsi="Arial" w:cs="Arial"/>
          <w:sz w:val="16"/>
          <w:szCs w:val="16"/>
        </w:rPr>
      </w:pPr>
    </w:p>
    <w:p w:rsidR="001E7F87" w:rsidRDefault="001E7F87" w:rsidP="001E7F87">
      <w:pPr>
        <w:spacing w:after="120" w:line="312" w:lineRule="auto"/>
        <w:ind w:left="6372" w:firstLine="708"/>
        <w:rPr>
          <w:rFonts w:ascii="Arial" w:hAnsi="Arial" w:cs="Arial"/>
          <w:sz w:val="16"/>
          <w:szCs w:val="16"/>
        </w:rPr>
      </w:pPr>
    </w:p>
    <w:p w:rsidR="00BB1A98" w:rsidRPr="001E7F87" w:rsidRDefault="00BB1A98" w:rsidP="001E7F87">
      <w:pPr>
        <w:rPr>
          <w:szCs w:val="16"/>
        </w:rPr>
      </w:pPr>
    </w:p>
    <w:sectPr w:rsidR="00BB1A98" w:rsidRPr="001E7F87" w:rsidSect="002D4F03">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BC3" w:rsidRDefault="00A65BC3" w:rsidP="009A0833">
      <w:r>
        <w:separator/>
      </w:r>
    </w:p>
  </w:endnote>
  <w:endnote w:type="continuationSeparator" w:id="0">
    <w:p w:rsidR="00A65BC3" w:rsidRDefault="00A65BC3" w:rsidP="009A0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46605"/>
      <w:docPartObj>
        <w:docPartGallery w:val="Page Numbers (Bottom of Page)"/>
        <w:docPartUnique/>
      </w:docPartObj>
    </w:sdtPr>
    <w:sdtContent>
      <w:p w:rsidR="00D9274E" w:rsidRDefault="00AC4353">
        <w:pPr>
          <w:pStyle w:val="Fuzeile"/>
          <w:jc w:val="right"/>
        </w:pPr>
        <w:r w:rsidRPr="001E28F4">
          <w:rPr>
            <w:rFonts w:asciiTheme="minorBidi" w:hAnsiTheme="minorBidi" w:cstheme="minorBidi"/>
            <w:sz w:val="22"/>
            <w:szCs w:val="22"/>
          </w:rPr>
          <w:fldChar w:fldCharType="begin"/>
        </w:r>
        <w:r w:rsidR="00D9274E" w:rsidRPr="001E28F4">
          <w:rPr>
            <w:rFonts w:asciiTheme="minorBidi" w:hAnsiTheme="minorBidi" w:cstheme="minorBidi"/>
            <w:sz w:val="22"/>
            <w:szCs w:val="22"/>
          </w:rPr>
          <w:instrText xml:space="preserve"> PAGE   \* MERGEFORMAT </w:instrText>
        </w:r>
        <w:r w:rsidRPr="001E28F4">
          <w:rPr>
            <w:rFonts w:asciiTheme="minorBidi" w:hAnsiTheme="minorBidi" w:cstheme="minorBidi"/>
            <w:sz w:val="22"/>
            <w:szCs w:val="22"/>
          </w:rPr>
          <w:fldChar w:fldCharType="separate"/>
        </w:r>
        <w:r w:rsidR="00967104">
          <w:rPr>
            <w:rFonts w:asciiTheme="minorBidi" w:hAnsiTheme="minorBidi" w:cstheme="minorBidi"/>
            <w:noProof/>
            <w:sz w:val="22"/>
            <w:szCs w:val="22"/>
          </w:rPr>
          <w:t>3</w:t>
        </w:r>
        <w:r w:rsidRPr="001E28F4">
          <w:rPr>
            <w:rFonts w:asciiTheme="minorBidi" w:hAnsiTheme="minorBidi" w:cstheme="minorBidi"/>
            <w:sz w:val="22"/>
            <w:szCs w:val="22"/>
          </w:rPr>
          <w:fldChar w:fldCharType="end"/>
        </w:r>
      </w:p>
    </w:sdtContent>
  </w:sdt>
  <w:p w:rsidR="00D9274E" w:rsidRDefault="00D9274E" w:rsidP="008B2D3E">
    <w:pPr>
      <w:pBdr>
        <w:top w:val="single" w:sz="4" w:space="1" w:color="auto"/>
      </w:pBdr>
      <w:spacing w:line="312" w:lineRule="auto"/>
    </w:pPr>
    <w:r w:rsidRPr="00EF6589">
      <w:rPr>
        <w:rFonts w:ascii="Arial" w:hAnsi="Arial" w:cs="Arial"/>
        <w:bCs/>
        <w:sz w:val="20"/>
        <w:szCs w:val="20"/>
        <w:lang w:val="de-AT"/>
      </w:rPr>
      <w:t>Pressekonferenz „Mythen versus neueste Erkenntnisse zur Hormonersatztherapie“</w:t>
    </w:r>
    <w:r>
      <w:rPr>
        <w:rFonts w:ascii="Arial" w:hAnsi="Arial" w:cs="Arial"/>
        <w:bCs/>
        <w:sz w:val="20"/>
        <w:szCs w:val="20"/>
        <w:lang w:val="de-AT"/>
      </w:rPr>
      <w:t xml:space="preserve"> </w:t>
    </w:r>
    <w:r>
      <w:rPr>
        <w:rFonts w:ascii="Arial" w:hAnsi="Arial"/>
        <w:sz w:val="20"/>
        <w:szCs w:val="20"/>
      </w:rPr>
      <w:t>am  28. April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4E" w:rsidRPr="008B2D3E" w:rsidRDefault="00D9274E" w:rsidP="008B2D3E">
    <w:pPr>
      <w:pBdr>
        <w:top w:val="single" w:sz="4" w:space="1" w:color="auto"/>
      </w:pBdr>
      <w:spacing w:line="312" w:lineRule="auto"/>
    </w:pPr>
    <w:r w:rsidRPr="00EF6589">
      <w:rPr>
        <w:rFonts w:ascii="Arial" w:hAnsi="Arial" w:cs="Arial"/>
        <w:bCs/>
        <w:sz w:val="20"/>
        <w:szCs w:val="20"/>
        <w:lang w:val="de-AT"/>
      </w:rPr>
      <w:t>Pressekonferenz „Mythen versus neueste Erkenntnisse zur Hormonersatztherapie“</w:t>
    </w:r>
    <w:r>
      <w:rPr>
        <w:rFonts w:ascii="Arial" w:hAnsi="Arial" w:cs="Arial"/>
        <w:bCs/>
        <w:sz w:val="20"/>
        <w:szCs w:val="20"/>
        <w:lang w:val="de-AT"/>
      </w:rPr>
      <w:t xml:space="preserve"> </w:t>
    </w:r>
    <w:r>
      <w:rPr>
        <w:rFonts w:ascii="Arial" w:hAnsi="Arial"/>
        <w:sz w:val="20"/>
        <w:szCs w:val="20"/>
      </w:rPr>
      <w:t>am  28. April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BC3" w:rsidRDefault="00A65BC3" w:rsidP="009A0833">
      <w:r>
        <w:separator/>
      </w:r>
    </w:p>
  </w:footnote>
  <w:footnote w:type="continuationSeparator" w:id="0">
    <w:p w:rsidR="00A65BC3" w:rsidRDefault="00A65BC3" w:rsidP="009A0833">
      <w:r>
        <w:continuationSeparator/>
      </w:r>
    </w:p>
  </w:footnote>
  <w:footnote w:id="1">
    <w:p w:rsidR="001E7F87" w:rsidRPr="00B51343" w:rsidRDefault="001E7F87" w:rsidP="001E7F87">
      <w:pPr>
        <w:pStyle w:val="Funotentext"/>
        <w:rPr>
          <w:lang w:val="de-AT"/>
        </w:rPr>
      </w:pPr>
      <w:r>
        <w:rPr>
          <w:rStyle w:val="Funotenzeichen"/>
        </w:rPr>
        <w:footnoteRef/>
      </w:r>
      <w:r>
        <w:t xml:space="preserve"> </w:t>
      </w:r>
      <w:r w:rsidRPr="00B51343">
        <w:rPr>
          <w:sz w:val="16"/>
          <w:szCs w:val="16"/>
          <w:lang w:val="de-AT"/>
        </w:rPr>
        <w:t>Deutsches Bundesinstitut für Risikobewertung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4E" w:rsidRDefault="00D9274E" w:rsidP="00B22DE4">
    <w:pPr>
      <w:pStyle w:val="Kopfzeile"/>
      <w:tabs>
        <w:tab w:val="clear" w:pos="9072"/>
        <w:tab w:val="right" w:pos="9498"/>
      </w:tabs>
    </w:pPr>
    <w:r>
      <w:tab/>
    </w:r>
  </w:p>
  <w:p w:rsidR="00D9274E" w:rsidRDefault="00D9274E">
    <w:pPr>
      <w:pStyle w:val="Kopfzeile"/>
    </w:pPr>
  </w:p>
  <w:p w:rsidR="00D9274E" w:rsidRDefault="00D9274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4E" w:rsidRDefault="00D9274E" w:rsidP="00CB2B9B">
    <w:pPr>
      <w:pStyle w:val="Kopfzeile"/>
      <w:tabs>
        <w:tab w:val="clear" w:pos="4536"/>
        <w:tab w:val="clear" w:pos="9072"/>
        <w:tab w:val="left" w:pos="4111"/>
        <w:tab w:val="right" w:pos="9498"/>
      </w:tabs>
      <w:ind w:left="-425"/>
    </w:pPr>
    <w:r w:rsidRPr="008B697A">
      <w:rPr>
        <w:noProof/>
        <w:lang w:val="de-AT" w:eastAsia="de-AT"/>
      </w:rPr>
      <w:drawing>
        <wp:inline distT="0" distB="0" distL="0" distR="0">
          <wp:extent cx="1299403" cy="1094032"/>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9403" cy="1094032"/>
                  </a:xfrm>
                  <a:prstGeom prst="rect">
                    <a:avLst/>
                  </a:prstGeom>
                  <a:noFill/>
                  <a:ln w="9525">
                    <a:noFill/>
                    <a:miter lim="800000"/>
                    <a:headEnd/>
                    <a:tailEnd/>
                  </a:ln>
                </pic:spPr>
              </pic:pic>
            </a:graphicData>
          </a:graphic>
        </wp:inline>
      </w:drawing>
    </w:r>
    <w:r w:rsidR="00CB2B9B">
      <w:rPr>
        <w:noProof/>
        <w:lang w:val="de-AT" w:eastAsia="de-AT"/>
      </w:rPr>
      <w:tab/>
    </w:r>
    <w:r w:rsidRPr="009A0833">
      <w:rPr>
        <w:noProof/>
        <w:lang w:val="de-AT" w:eastAsia="de-AT"/>
      </w:rPr>
      <w:drawing>
        <wp:inline distT="0" distB="0" distL="0" distR="0">
          <wp:extent cx="3089910" cy="444012"/>
          <wp:effectExtent l="1905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9910" cy="444012"/>
                  </a:xfrm>
                  <a:prstGeom prst="rect">
                    <a:avLst/>
                  </a:prstGeom>
                  <a:noFill/>
                  <a:ln>
                    <a:noFill/>
                  </a:ln>
                </pic:spPr>
              </pic:pic>
            </a:graphicData>
          </a:graphic>
        </wp:inline>
      </w:drawing>
    </w:r>
    <w:r>
      <w:tab/>
    </w:r>
  </w:p>
  <w:p w:rsidR="00D9274E" w:rsidRDefault="00D9274E" w:rsidP="002D4F0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20203"/>
    <w:multiLevelType w:val="hybridMultilevel"/>
    <w:tmpl w:val="D3A05B2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82"/>
  </w:hdrShapeDefaults>
  <w:footnotePr>
    <w:footnote w:id="-1"/>
    <w:footnote w:id="0"/>
  </w:footnotePr>
  <w:endnotePr>
    <w:endnote w:id="-1"/>
    <w:endnote w:id="0"/>
  </w:endnotePr>
  <w:compat/>
  <w:rsids>
    <w:rsidRoot w:val="00EA2FEC"/>
    <w:rsid w:val="000058CF"/>
    <w:rsid w:val="00005AAF"/>
    <w:rsid w:val="00006580"/>
    <w:rsid w:val="00007AEA"/>
    <w:rsid w:val="000127BA"/>
    <w:rsid w:val="00012A8C"/>
    <w:rsid w:val="0001309F"/>
    <w:rsid w:val="00013A7A"/>
    <w:rsid w:val="00014FEC"/>
    <w:rsid w:val="00015D2A"/>
    <w:rsid w:val="00020008"/>
    <w:rsid w:val="00020009"/>
    <w:rsid w:val="0002189F"/>
    <w:rsid w:val="000219A9"/>
    <w:rsid w:val="00024B3E"/>
    <w:rsid w:val="00025735"/>
    <w:rsid w:val="000263D8"/>
    <w:rsid w:val="000269F1"/>
    <w:rsid w:val="00031AC1"/>
    <w:rsid w:val="000328DB"/>
    <w:rsid w:val="00033643"/>
    <w:rsid w:val="00034A18"/>
    <w:rsid w:val="00037364"/>
    <w:rsid w:val="0004004A"/>
    <w:rsid w:val="00042B2D"/>
    <w:rsid w:val="00044950"/>
    <w:rsid w:val="000478D8"/>
    <w:rsid w:val="000504A8"/>
    <w:rsid w:val="00050DA8"/>
    <w:rsid w:val="00050F83"/>
    <w:rsid w:val="00054044"/>
    <w:rsid w:val="0005508B"/>
    <w:rsid w:val="0005776E"/>
    <w:rsid w:val="00057802"/>
    <w:rsid w:val="0006093A"/>
    <w:rsid w:val="00060FBE"/>
    <w:rsid w:val="00060FE3"/>
    <w:rsid w:val="00061CDD"/>
    <w:rsid w:val="000629B5"/>
    <w:rsid w:val="00063720"/>
    <w:rsid w:val="00063B04"/>
    <w:rsid w:val="0006413F"/>
    <w:rsid w:val="00064AF0"/>
    <w:rsid w:val="000654DB"/>
    <w:rsid w:val="00065B6C"/>
    <w:rsid w:val="000667AA"/>
    <w:rsid w:val="00066BC9"/>
    <w:rsid w:val="000677A6"/>
    <w:rsid w:val="000704A7"/>
    <w:rsid w:val="000725EC"/>
    <w:rsid w:val="000728A3"/>
    <w:rsid w:val="00072995"/>
    <w:rsid w:val="00073822"/>
    <w:rsid w:val="00075185"/>
    <w:rsid w:val="00075F4D"/>
    <w:rsid w:val="0007704D"/>
    <w:rsid w:val="00077F5C"/>
    <w:rsid w:val="00081539"/>
    <w:rsid w:val="00081CCE"/>
    <w:rsid w:val="00082FE1"/>
    <w:rsid w:val="00083452"/>
    <w:rsid w:val="00083F66"/>
    <w:rsid w:val="00084379"/>
    <w:rsid w:val="00084838"/>
    <w:rsid w:val="00084F68"/>
    <w:rsid w:val="00085026"/>
    <w:rsid w:val="00086415"/>
    <w:rsid w:val="0008791D"/>
    <w:rsid w:val="000910FE"/>
    <w:rsid w:val="000912E6"/>
    <w:rsid w:val="0009371D"/>
    <w:rsid w:val="000A1ABC"/>
    <w:rsid w:val="000A4238"/>
    <w:rsid w:val="000A58B3"/>
    <w:rsid w:val="000A597A"/>
    <w:rsid w:val="000A6166"/>
    <w:rsid w:val="000A63B5"/>
    <w:rsid w:val="000A760C"/>
    <w:rsid w:val="000A7D74"/>
    <w:rsid w:val="000B0461"/>
    <w:rsid w:val="000B083F"/>
    <w:rsid w:val="000B3580"/>
    <w:rsid w:val="000B5835"/>
    <w:rsid w:val="000B7A60"/>
    <w:rsid w:val="000C05C0"/>
    <w:rsid w:val="000C0951"/>
    <w:rsid w:val="000C4CF3"/>
    <w:rsid w:val="000C56AC"/>
    <w:rsid w:val="000C5AAA"/>
    <w:rsid w:val="000C657A"/>
    <w:rsid w:val="000C6738"/>
    <w:rsid w:val="000C715A"/>
    <w:rsid w:val="000C79E2"/>
    <w:rsid w:val="000D0B4B"/>
    <w:rsid w:val="000D284E"/>
    <w:rsid w:val="000D2C35"/>
    <w:rsid w:val="000D3DE1"/>
    <w:rsid w:val="000D3F3D"/>
    <w:rsid w:val="000D427F"/>
    <w:rsid w:val="000D4DD9"/>
    <w:rsid w:val="000D66E0"/>
    <w:rsid w:val="000D7F12"/>
    <w:rsid w:val="000E1416"/>
    <w:rsid w:val="000E2F7F"/>
    <w:rsid w:val="000E3774"/>
    <w:rsid w:val="000E45B6"/>
    <w:rsid w:val="000F39BB"/>
    <w:rsid w:val="0010052E"/>
    <w:rsid w:val="001025B4"/>
    <w:rsid w:val="00103DD2"/>
    <w:rsid w:val="00104AAC"/>
    <w:rsid w:val="0011115E"/>
    <w:rsid w:val="00112019"/>
    <w:rsid w:val="0011591C"/>
    <w:rsid w:val="001161AE"/>
    <w:rsid w:val="00116230"/>
    <w:rsid w:val="00120819"/>
    <w:rsid w:val="00120B3E"/>
    <w:rsid w:val="0012102A"/>
    <w:rsid w:val="00121904"/>
    <w:rsid w:val="00121996"/>
    <w:rsid w:val="00121B20"/>
    <w:rsid w:val="00121C2C"/>
    <w:rsid w:val="00121DFD"/>
    <w:rsid w:val="00132B39"/>
    <w:rsid w:val="001334FB"/>
    <w:rsid w:val="00134B58"/>
    <w:rsid w:val="001366BC"/>
    <w:rsid w:val="00137C2F"/>
    <w:rsid w:val="001421A6"/>
    <w:rsid w:val="00142719"/>
    <w:rsid w:val="001431F0"/>
    <w:rsid w:val="00143D8D"/>
    <w:rsid w:val="001459CB"/>
    <w:rsid w:val="00147278"/>
    <w:rsid w:val="00147CBC"/>
    <w:rsid w:val="00147FBE"/>
    <w:rsid w:val="00151F22"/>
    <w:rsid w:val="00152B85"/>
    <w:rsid w:val="001536BF"/>
    <w:rsid w:val="00153B9E"/>
    <w:rsid w:val="00161353"/>
    <w:rsid w:val="00162846"/>
    <w:rsid w:val="001638D8"/>
    <w:rsid w:val="00170D83"/>
    <w:rsid w:val="00176230"/>
    <w:rsid w:val="0017689A"/>
    <w:rsid w:val="00177D60"/>
    <w:rsid w:val="001805E4"/>
    <w:rsid w:val="00182035"/>
    <w:rsid w:val="00182AA5"/>
    <w:rsid w:val="00183B3E"/>
    <w:rsid w:val="00183D14"/>
    <w:rsid w:val="001840D9"/>
    <w:rsid w:val="001851AC"/>
    <w:rsid w:val="00185442"/>
    <w:rsid w:val="00185C4D"/>
    <w:rsid w:val="00187AB7"/>
    <w:rsid w:val="0019068D"/>
    <w:rsid w:val="00193697"/>
    <w:rsid w:val="00195A5F"/>
    <w:rsid w:val="00195F42"/>
    <w:rsid w:val="00197145"/>
    <w:rsid w:val="001A0EC4"/>
    <w:rsid w:val="001A0F31"/>
    <w:rsid w:val="001A1C9B"/>
    <w:rsid w:val="001A2898"/>
    <w:rsid w:val="001A3D16"/>
    <w:rsid w:val="001A4839"/>
    <w:rsid w:val="001A641D"/>
    <w:rsid w:val="001A7B1F"/>
    <w:rsid w:val="001A7B75"/>
    <w:rsid w:val="001B0151"/>
    <w:rsid w:val="001B1452"/>
    <w:rsid w:val="001B4258"/>
    <w:rsid w:val="001B6C42"/>
    <w:rsid w:val="001B7B3D"/>
    <w:rsid w:val="001C1192"/>
    <w:rsid w:val="001C160D"/>
    <w:rsid w:val="001C27FF"/>
    <w:rsid w:val="001C4EC5"/>
    <w:rsid w:val="001C53D4"/>
    <w:rsid w:val="001C7D49"/>
    <w:rsid w:val="001D0FAF"/>
    <w:rsid w:val="001D25AD"/>
    <w:rsid w:val="001D4C04"/>
    <w:rsid w:val="001D4D31"/>
    <w:rsid w:val="001D5998"/>
    <w:rsid w:val="001D5B2B"/>
    <w:rsid w:val="001D5B31"/>
    <w:rsid w:val="001D72FF"/>
    <w:rsid w:val="001D7DC5"/>
    <w:rsid w:val="001D7E15"/>
    <w:rsid w:val="001E1CA9"/>
    <w:rsid w:val="001E27C9"/>
    <w:rsid w:val="001E28F4"/>
    <w:rsid w:val="001E6C00"/>
    <w:rsid w:val="001E74B4"/>
    <w:rsid w:val="001E76CB"/>
    <w:rsid w:val="001E7F87"/>
    <w:rsid w:val="001F28C5"/>
    <w:rsid w:val="001F2CF1"/>
    <w:rsid w:val="001F6752"/>
    <w:rsid w:val="001F7EA2"/>
    <w:rsid w:val="0020104F"/>
    <w:rsid w:val="00202C98"/>
    <w:rsid w:val="00203A55"/>
    <w:rsid w:val="002040E7"/>
    <w:rsid w:val="002044C0"/>
    <w:rsid w:val="00204B1D"/>
    <w:rsid w:val="00206EAE"/>
    <w:rsid w:val="00207893"/>
    <w:rsid w:val="00211BCC"/>
    <w:rsid w:val="0021443C"/>
    <w:rsid w:val="002149C6"/>
    <w:rsid w:val="00220CAB"/>
    <w:rsid w:val="00221EBF"/>
    <w:rsid w:val="00222EB8"/>
    <w:rsid w:val="002236FB"/>
    <w:rsid w:val="00225952"/>
    <w:rsid w:val="00230CE1"/>
    <w:rsid w:val="00235196"/>
    <w:rsid w:val="00237BED"/>
    <w:rsid w:val="00242B8B"/>
    <w:rsid w:val="0024342C"/>
    <w:rsid w:val="002504AF"/>
    <w:rsid w:val="002517D1"/>
    <w:rsid w:val="00252900"/>
    <w:rsid w:val="00252A7E"/>
    <w:rsid w:val="00253561"/>
    <w:rsid w:val="002544A8"/>
    <w:rsid w:val="00257B65"/>
    <w:rsid w:val="00260281"/>
    <w:rsid w:val="002608D9"/>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347E"/>
    <w:rsid w:val="00284B42"/>
    <w:rsid w:val="00290752"/>
    <w:rsid w:val="00290C5B"/>
    <w:rsid w:val="002913B8"/>
    <w:rsid w:val="002952C4"/>
    <w:rsid w:val="00296ABA"/>
    <w:rsid w:val="00296CEA"/>
    <w:rsid w:val="00297E83"/>
    <w:rsid w:val="002A0BF3"/>
    <w:rsid w:val="002A221C"/>
    <w:rsid w:val="002A2995"/>
    <w:rsid w:val="002A3AEC"/>
    <w:rsid w:val="002A4201"/>
    <w:rsid w:val="002A510C"/>
    <w:rsid w:val="002A5880"/>
    <w:rsid w:val="002A62D3"/>
    <w:rsid w:val="002A6DA3"/>
    <w:rsid w:val="002A6EEA"/>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6BAF"/>
    <w:rsid w:val="002C73D9"/>
    <w:rsid w:val="002C7DDE"/>
    <w:rsid w:val="002D2894"/>
    <w:rsid w:val="002D3F15"/>
    <w:rsid w:val="002D4F03"/>
    <w:rsid w:val="002D734E"/>
    <w:rsid w:val="002E0D52"/>
    <w:rsid w:val="002E2179"/>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579"/>
    <w:rsid w:val="002F478E"/>
    <w:rsid w:val="00302712"/>
    <w:rsid w:val="00302FC9"/>
    <w:rsid w:val="00303936"/>
    <w:rsid w:val="00304A81"/>
    <w:rsid w:val="003065B6"/>
    <w:rsid w:val="003103FC"/>
    <w:rsid w:val="003117C3"/>
    <w:rsid w:val="00313172"/>
    <w:rsid w:val="00314BA2"/>
    <w:rsid w:val="00316999"/>
    <w:rsid w:val="00317E52"/>
    <w:rsid w:val="003200D7"/>
    <w:rsid w:val="00320598"/>
    <w:rsid w:val="003220D8"/>
    <w:rsid w:val="003228DC"/>
    <w:rsid w:val="003249F9"/>
    <w:rsid w:val="00325BAB"/>
    <w:rsid w:val="00333959"/>
    <w:rsid w:val="0033453D"/>
    <w:rsid w:val="00335208"/>
    <w:rsid w:val="0033536F"/>
    <w:rsid w:val="0033747C"/>
    <w:rsid w:val="0034110A"/>
    <w:rsid w:val="00341DCB"/>
    <w:rsid w:val="003424AE"/>
    <w:rsid w:val="00345C1E"/>
    <w:rsid w:val="00345C99"/>
    <w:rsid w:val="003560C3"/>
    <w:rsid w:val="00356112"/>
    <w:rsid w:val="0035675E"/>
    <w:rsid w:val="00360A3C"/>
    <w:rsid w:val="00361736"/>
    <w:rsid w:val="00361F92"/>
    <w:rsid w:val="00362B79"/>
    <w:rsid w:val="00362E61"/>
    <w:rsid w:val="003637CF"/>
    <w:rsid w:val="00364B49"/>
    <w:rsid w:val="00367BA5"/>
    <w:rsid w:val="003712CA"/>
    <w:rsid w:val="0037376D"/>
    <w:rsid w:val="00373F03"/>
    <w:rsid w:val="00375385"/>
    <w:rsid w:val="00376347"/>
    <w:rsid w:val="00380886"/>
    <w:rsid w:val="003810AF"/>
    <w:rsid w:val="00381102"/>
    <w:rsid w:val="00382498"/>
    <w:rsid w:val="00382DB2"/>
    <w:rsid w:val="00383560"/>
    <w:rsid w:val="00383B34"/>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3EEA"/>
    <w:rsid w:val="003A4221"/>
    <w:rsid w:val="003A4304"/>
    <w:rsid w:val="003A5050"/>
    <w:rsid w:val="003A5FFD"/>
    <w:rsid w:val="003B29CE"/>
    <w:rsid w:val="003B2E1F"/>
    <w:rsid w:val="003B31E3"/>
    <w:rsid w:val="003B42FA"/>
    <w:rsid w:val="003B5921"/>
    <w:rsid w:val="003B63F5"/>
    <w:rsid w:val="003B6659"/>
    <w:rsid w:val="003B6849"/>
    <w:rsid w:val="003B6C88"/>
    <w:rsid w:val="003C0140"/>
    <w:rsid w:val="003C074B"/>
    <w:rsid w:val="003C09F2"/>
    <w:rsid w:val="003C12D8"/>
    <w:rsid w:val="003C4A93"/>
    <w:rsid w:val="003C5AC2"/>
    <w:rsid w:val="003C6570"/>
    <w:rsid w:val="003D01BF"/>
    <w:rsid w:val="003D13F0"/>
    <w:rsid w:val="003D1FCE"/>
    <w:rsid w:val="003D2346"/>
    <w:rsid w:val="003D2623"/>
    <w:rsid w:val="003D2701"/>
    <w:rsid w:val="003D389E"/>
    <w:rsid w:val="003D40C1"/>
    <w:rsid w:val="003D6253"/>
    <w:rsid w:val="003D6559"/>
    <w:rsid w:val="003E05BA"/>
    <w:rsid w:val="003E2A11"/>
    <w:rsid w:val="003E2F95"/>
    <w:rsid w:val="003E4772"/>
    <w:rsid w:val="003E5023"/>
    <w:rsid w:val="003E50BF"/>
    <w:rsid w:val="003E5B8A"/>
    <w:rsid w:val="003E671F"/>
    <w:rsid w:val="003E6E6E"/>
    <w:rsid w:val="003E78E8"/>
    <w:rsid w:val="003F01A3"/>
    <w:rsid w:val="003F0435"/>
    <w:rsid w:val="003F1190"/>
    <w:rsid w:val="003F11F3"/>
    <w:rsid w:val="003F3FD8"/>
    <w:rsid w:val="003F5E6A"/>
    <w:rsid w:val="003F7722"/>
    <w:rsid w:val="00400285"/>
    <w:rsid w:val="00401B0A"/>
    <w:rsid w:val="004025B2"/>
    <w:rsid w:val="00403354"/>
    <w:rsid w:val="00404136"/>
    <w:rsid w:val="00405717"/>
    <w:rsid w:val="004059B4"/>
    <w:rsid w:val="00406D69"/>
    <w:rsid w:val="00407061"/>
    <w:rsid w:val="0040776A"/>
    <w:rsid w:val="00410F4B"/>
    <w:rsid w:val="00411348"/>
    <w:rsid w:val="00411F20"/>
    <w:rsid w:val="00412467"/>
    <w:rsid w:val="00414D9B"/>
    <w:rsid w:val="004169CD"/>
    <w:rsid w:val="004177EE"/>
    <w:rsid w:val="00421AAB"/>
    <w:rsid w:val="00421BAE"/>
    <w:rsid w:val="004257D8"/>
    <w:rsid w:val="004266F4"/>
    <w:rsid w:val="0042685F"/>
    <w:rsid w:val="00426A9E"/>
    <w:rsid w:val="00426FD5"/>
    <w:rsid w:val="004279F8"/>
    <w:rsid w:val="0043299D"/>
    <w:rsid w:val="00433810"/>
    <w:rsid w:val="004359D5"/>
    <w:rsid w:val="004406F5"/>
    <w:rsid w:val="00445493"/>
    <w:rsid w:val="004463DE"/>
    <w:rsid w:val="0044667E"/>
    <w:rsid w:val="004502EF"/>
    <w:rsid w:val="00450BC4"/>
    <w:rsid w:val="004518B9"/>
    <w:rsid w:val="00454B61"/>
    <w:rsid w:val="004560B1"/>
    <w:rsid w:val="004563D2"/>
    <w:rsid w:val="00460EC4"/>
    <w:rsid w:val="004630CE"/>
    <w:rsid w:val="004639DA"/>
    <w:rsid w:val="00463B7D"/>
    <w:rsid w:val="00464424"/>
    <w:rsid w:val="00464C25"/>
    <w:rsid w:val="00466262"/>
    <w:rsid w:val="004675F3"/>
    <w:rsid w:val="00470AB3"/>
    <w:rsid w:val="00470F64"/>
    <w:rsid w:val="00471E09"/>
    <w:rsid w:val="00472949"/>
    <w:rsid w:val="00472B73"/>
    <w:rsid w:val="004739A9"/>
    <w:rsid w:val="004741BD"/>
    <w:rsid w:val="00474F00"/>
    <w:rsid w:val="00475635"/>
    <w:rsid w:val="00475ABF"/>
    <w:rsid w:val="00480041"/>
    <w:rsid w:val="0048036B"/>
    <w:rsid w:val="0048093B"/>
    <w:rsid w:val="004837C7"/>
    <w:rsid w:val="0048450C"/>
    <w:rsid w:val="004850B3"/>
    <w:rsid w:val="0048578A"/>
    <w:rsid w:val="00491D5B"/>
    <w:rsid w:val="0049220C"/>
    <w:rsid w:val="00493D07"/>
    <w:rsid w:val="00494526"/>
    <w:rsid w:val="00494A2E"/>
    <w:rsid w:val="00495CEA"/>
    <w:rsid w:val="004963F1"/>
    <w:rsid w:val="00496F04"/>
    <w:rsid w:val="00497A48"/>
    <w:rsid w:val="004A0027"/>
    <w:rsid w:val="004A0DC0"/>
    <w:rsid w:val="004A165D"/>
    <w:rsid w:val="004A3A84"/>
    <w:rsid w:val="004A4582"/>
    <w:rsid w:val="004A4AAF"/>
    <w:rsid w:val="004A51F0"/>
    <w:rsid w:val="004A583C"/>
    <w:rsid w:val="004A7A06"/>
    <w:rsid w:val="004A7CC4"/>
    <w:rsid w:val="004B341E"/>
    <w:rsid w:val="004B7882"/>
    <w:rsid w:val="004B78B6"/>
    <w:rsid w:val="004C227D"/>
    <w:rsid w:val="004C399B"/>
    <w:rsid w:val="004C3BF2"/>
    <w:rsid w:val="004C459A"/>
    <w:rsid w:val="004C4DC4"/>
    <w:rsid w:val="004C6776"/>
    <w:rsid w:val="004D038A"/>
    <w:rsid w:val="004D1258"/>
    <w:rsid w:val="004D1AA2"/>
    <w:rsid w:val="004D1C08"/>
    <w:rsid w:val="004D2526"/>
    <w:rsid w:val="004D279A"/>
    <w:rsid w:val="004D528E"/>
    <w:rsid w:val="004E17D1"/>
    <w:rsid w:val="004E1ABA"/>
    <w:rsid w:val="004E510A"/>
    <w:rsid w:val="004E529E"/>
    <w:rsid w:val="004E7347"/>
    <w:rsid w:val="004F064A"/>
    <w:rsid w:val="004F3856"/>
    <w:rsid w:val="004F5F71"/>
    <w:rsid w:val="004F660A"/>
    <w:rsid w:val="004F7E37"/>
    <w:rsid w:val="004F7E86"/>
    <w:rsid w:val="0050004C"/>
    <w:rsid w:val="0050055F"/>
    <w:rsid w:val="00500BE9"/>
    <w:rsid w:val="00501A2F"/>
    <w:rsid w:val="00501E95"/>
    <w:rsid w:val="005025A4"/>
    <w:rsid w:val="00505505"/>
    <w:rsid w:val="0050658F"/>
    <w:rsid w:val="00507F22"/>
    <w:rsid w:val="00510054"/>
    <w:rsid w:val="005110B2"/>
    <w:rsid w:val="0051303E"/>
    <w:rsid w:val="00514655"/>
    <w:rsid w:val="00515917"/>
    <w:rsid w:val="00516655"/>
    <w:rsid w:val="00517FE1"/>
    <w:rsid w:val="00522458"/>
    <w:rsid w:val="00522B17"/>
    <w:rsid w:val="00524C68"/>
    <w:rsid w:val="00525B1D"/>
    <w:rsid w:val="00527AE5"/>
    <w:rsid w:val="005308FD"/>
    <w:rsid w:val="00532D73"/>
    <w:rsid w:val="005339D6"/>
    <w:rsid w:val="00536E30"/>
    <w:rsid w:val="00537847"/>
    <w:rsid w:val="00541632"/>
    <w:rsid w:val="005427C4"/>
    <w:rsid w:val="005511A0"/>
    <w:rsid w:val="00555993"/>
    <w:rsid w:val="005568ED"/>
    <w:rsid w:val="0055731B"/>
    <w:rsid w:val="005615F0"/>
    <w:rsid w:val="005619C1"/>
    <w:rsid w:val="005626F3"/>
    <w:rsid w:val="005628B8"/>
    <w:rsid w:val="00562D5E"/>
    <w:rsid w:val="00562D82"/>
    <w:rsid w:val="005653AB"/>
    <w:rsid w:val="00565589"/>
    <w:rsid w:val="00566D2B"/>
    <w:rsid w:val="00571CD8"/>
    <w:rsid w:val="00573A02"/>
    <w:rsid w:val="005756F1"/>
    <w:rsid w:val="005764FE"/>
    <w:rsid w:val="005819CE"/>
    <w:rsid w:val="005823FA"/>
    <w:rsid w:val="005837A1"/>
    <w:rsid w:val="00583909"/>
    <w:rsid w:val="00583E7A"/>
    <w:rsid w:val="00584E67"/>
    <w:rsid w:val="00585F04"/>
    <w:rsid w:val="0058651E"/>
    <w:rsid w:val="0058659E"/>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631B"/>
    <w:rsid w:val="005C6E71"/>
    <w:rsid w:val="005C7ECC"/>
    <w:rsid w:val="005D0491"/>
    <w:rsid w:val="005D0D7C"/>
    <w:rsid w:val="005D1F30"/>
    <w:rsid w:val="005D2463"/>
    <w:rsid w:val="005D528F"/>
    <w:rsid w:val="005D743F"/>
    <w:rsid w:val="005E086E"/>
    <w:rsid w:val="005E3C12"/>
    <w:rsid w:val="005E537A"/>
    <w:rsid w:val="005E55DC"/>
    <w:rsid w:val="005E577B"/>
    <w:rsid w:val="005E741D"/>
    <w:rsid w:val="005E7CEA"/>
    <w:rsid w:val="005F1E73"/>
    <w:rsid w:val="005F4E85"/>
    <w:rsid w:val="00600BF4"/>
    <w:rsid w:val="00602748"/>
    <w:rsid w:val="006036A3"/>
    <w:rsid w:val="00604254"/>
    <w:rsid w:val="006055CB"/>
    <w:rsid w:val="00606902"/>
    <w:rsid w:val="006071CA"/>
    <w:rsid w:val="0060791E"/>
    <w:rsid w:val="0061053E"/>
    <w:rsid w:val="0061147C"/>
    <w:rsid w:val="0061263E"/>
    <w:rsid w:val="0061514C"/>
    <w:rsid w:val="00615853"/>
    <w:rsid w:val="00623114"/>
    <w:rsid w:val="006238D8"/>
    <w:rsid w:val="00626374"/>
    <w:rsid w:val="0062682E"/>
    <w:rsid w:val="00626D1F"/>
    <w:rsid w:val="00633161"/>
    <w:rsid w:val="0063524D"/>
    <w:rsid w:val="006356C8"/>
    <w:rsid w:val="00637DCC"/>
    <w:rsid w:val="00643512"/>
    <w:rsid w:val="00643CFC"/>
    <w:rsid w:val="00644B47"/>
    <w:rsid w:val="00645E21"/>
    <w:rsid w:val="00647780"/>
    <w:rsid w:val="006553FD"/>
    <w:rsid w:val="00655588"/>
    <w:rsid w:val="00655D90"/>
    <w:rsid w:val="00657839"/>
    <w:rsid w:val="00657FFE"/>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1D30"/>
    <w:rsid w:val="0069567E"/>
    <w:rsid w:val="0069585B"/>
    <w:rsid w:val="0069705B"/>
    <w:rsid w:val="006978FA"/>
    <w:rsid w:val="006A3615"/>
    <w:rsid w:val="006A3DDC"/>
    <w:rsid w:val="006A4E62"/>
    <w:rsid w:val="006A5EDA"/>
    <w:rsid w:val="006A6608"/>
    <w:rsid w:val="006A695C"/>
    <w:rsid w:val="006A6ABE"/>
    <w:rsid w:val="006A6FAB"/>
    <w:rsid w:val="006B20F8"/>
    <w:rsid w:val="006B24E1"/>
    <w:rsid w:val="006B33C4"/>
    <w:rsid w:val="006B3970"/>
    <w:rsid w:val="006B46A8"/>
    <w:rsid w:val="006B46CD"/>
    <w:rsid w:val="006B47B0"/>
    <w:rsid w:val="006B4D60"/>
    <w:rsid w:val="006B63E4"/>
    <w:rsid w:val="006B7747"/>
    <w:rsid w:val="006B7C72"/>
    <w:rsid w:val="006C1799"/>
    <w:rsid w:val="006C18F6"/>
    <w:rsid w:val="006C3D8D"/>
    <w:rsid w:val="006C4183"/>
    <w:rsid w:val="006C5DC3"/>
    <w:rsid w:val="006D0095"/>
    <w:rsid w:val="006D0DA7"/>
    <w:rsid w:val="006D13C5"/>
    <w:rsid w:val="006D671A"/>
    <w:rsid w:val="006D682D"/>
    <w:rsid w:val="006D786E"/>
    <w:rsid w:val="006E0CF6"/>
    <w:rsid w:val="006E1C0D"/>
    <w:rsid w:val="006E2249"/>
    <w:rsid w:val="006E2AE3"/>
    <w:rsid w:val="006E3049"/>
    <w:rsid w:val="006E31BB"/>
    <w:rsid w:val="006E3B9B"/>
    <w:rsid w:val="006E6652"/>
    <w:rsid w:val="006E7D40"/>
    <w:rsid w:val="006F0822"/>
    <w:rsid w:val="006F0D50"/>
    <w:rsid w:val="006F1A95"/>
    <w:rsid w:val="006F4170"/>
    <w:rsid w:val="006F4A08"/>
    <w:rsid w:val="006F6C12"/>
    <w:rsid w:val="006F6CAB"/>
    <w:rsid w:val="006F709B"/>
    <w:rsid w:val="0070083E"/>
    <w:rsid w:val="00700A82"/>
    <w:rsid w:val="00703E6B"/>
    <w:rsid w:val="00705758"/>
    <w:rsid w:val="00705827"/>
    <w:rsid w:val="00706DB3"/>
    <w:rsid w:val="0071013A"/>
    <w:rsid w:val="0071308B"/>
    <w:rsid w:val="00715366"/>
    <w:rsid w:val="00716437"/>
    <w:rsid w:val="00716B39"/>
    <w:rsid w:val="007200AA"/>
    <w:rsid w:val="007201EA"/>
    <w:rsid w:val="00721879"/>
    <w:rsid w:val="00721922"/>
    <w:rsid w:val="00721E16"/>
    <w:rsid w:val="00722C08"/>
    <w:rsid w:val="00722E93"/>
    <w:rsid w:val="00723058"/>
    <w:rsid w:val="0072474E"/>
    <w:rsid w:val="00727C00"/>
    <w:rsid w:val="00733065"/>
    <w:rsid w:val="007349AD"/>
    <w:rsid w:val="007354CC"/>
    <w:rsid w:val="0073565A"/>
    <w:rsid w:val="0073689B"/>
    <w:rsid w:val="00737736"/>
    <w:rsid w:val="00740FA2"/>
    <w:rsid w:val="00741E38"/>
    <w:rsid w:val="007422FF"/>
    <w:rsid w:val="0074232B"/>
    <w:rsid w:val="0074234F"/>
    <w:rsid w:val="00742862"/>
    <w:rsid w:val="0074448F"/>
    <w:rsid w:val="007457F1"/>
    <w:rsid w:val="00746F41"/>
    <w:rsid w:val="007514E9"/>
    <w:rsid w:val="00752BFF"/>
    <w:rsid w:val="007551AB"/>
    <w:rsid w:val="00755AE9"/>
    <w:rsid w:val="00761220"/>
    <w:rsid w:val="00761D42"/>
    <w:rsid w:val="007655BF"/>
    <w:rsid w:val="00774094"/>
    <w:rsid w:val="00774EA9"/>
    <w:rsid w:val="00775BB8"/>
    <w:rsid w:val="00776BD7"/>
    <w:rsid w:val="00776E4A"/>
    <w:rsid w:val="007776DD"/>
    <w:rsid w:val="007779B4"/>
    <w:rsid w:val="007811A2"/>
    <w:rsid w:val="00781A96"/>
    <w:rsid w:val="00782382"/>
    <w:rsid w:val="00783019"/>
    <w:rsid w:val="00783279"/>
    <w:rsid w:val="00784C2F"/>
    <w:rsid w:val="00786B5C"/>
    <w:rsid w:val="007877F3"/>
    <w:rsid w:val="00787B09"/>
    <w:rsid w:val="00787C45"/>
    <w:rsid w:val="00787EE4"/>
    <w:rsid w:val="007939E4"/>
    <w:rsid w:val="00796F05"/>
    <w:rsid w:val="007974C6"/>
    <w:rsid w:val="007A063B"/>
    <w:rsid w:val="007A1A7E"/>
    <w:rsid w:val="007A1E18"/>
    <w:rsid w:val="007A24E7"/>
    <w:rsid w:val="007A4E3B"/>
    <w:rsid w:val="007A52AA"/>
    <w:rsid w:val="007A639E"/>
    <w:rsid w:val="007B1F45"/>
    <w:rsid w:val="007B2C93"/>
    <w:rsid w:val="007B4089"/>
    <w:rsid w:val="007B464E"/>
    <w:rsid w:val="007B4D64"/>
    <w:rsid w:val="007B508F"/>
    <w:rsid w:val="007B704E"/>
    <w:rsid w:val="007B7A93"/>
    <w:rsid w:val="007C1852"/>
    <w:rsid w:val="007C2A52"/>
    <w:rsid w:val="007C2C87"/>
    <w:rsid w:val="007D0773"/>
    <w:rsid w:val="007D118B"/>
    <w:rsid w:val="007D14C1"/>
    <w:rsid w:val="007D220C"/>
    <w:rsid w:val="007D499E"/>
    <w:rsid w:val="007E3719"/>
    <w:rsid w:val="007E410B"/>
    <w:rsid w:val="007E47F5"/>
    <w:rsid w:val="007E67B7"/>
    <w:rsid w:val="007F187C"/>
    <w:rsid w:val="007F18A3"/>
    <w:rsid w:val="007F35CA"/>
    <w:rsid w:val="007F612D"/>
    <w:rsid w:val="007F6912"/>
    <w:rsid w:val="007F78A0"/>
    <w:rsid w:val="007F7C7D"/>
    <w:rsid w:val="00801C55"/>
    <w:rsid w:val="00803953"/>
    <w:rsid w:val="00804EB0"/>
    <w:rsid w:val="00805634"/>
    <w:rsid w:val="00805BF0"/>
    <w:rsid w:val="008066A7"/>
    <w:rsid w:val="00807F79"/>
    <w:rsid w:val="00810C31"/>
    <w:rsid w:val="00811625"/>
    <w:rsid w:val="00811A66"/>
    <w:rsid w:val="00812E78"/>
    <w:rsid w:val="008141A4"/>
    <w:rsid w:val="008152C1"/>
    <w:rsid w:val="008161E4"/>
    <w:rsid w:val="00817229"/>
    <w:rsid w:val="00817B36"/>
    <w:rsid w:val="00821834"/>
    <w:rsid w:val="00822616"/>
    <w:rsid w:val="0082272A"/>
    <w:rsid w:val="00826688"/>
    <w:rsid w:val="0082729E"/>
    <w:rsid w:val="0083014E"/>
    <w:rsid w:val="008325A0"/>
    <w:rsid w:val="00835D1C"/>
    <w:rsid w:val="008401FE"/>
    <w:rsid w:val="00841928"/>
    <w:rsid w:val="00844C51"/>
    <w:rsid w:val="00846DBA"/>
    <w:rsid w:val="00847EB7"/>
    <w:rsid w:val="0085023F"/>
    <w:rsid w:val="00852CAC"/>
    <w:rsid w:val="008542C6"/>
    <w:rsid w:val="008577FE"/>
    <w:rsid w:val="0086230B"/>
    <w:rsid w:val="00863D57"/>
    <w:rsid w:val="0086661B"/>
    <w:rsid w:val="00867110"/>
    <w:rsid w:val="00867331"/>
    <w:rsid w:val="00870EB2"/>
    <w:rsid w:val="008734E6"/>
    <w:rsid w:val="00873B81"/>
    <w:rsid w:val="00874EE2"/>
    <w:rsid w:val="00876A64"/>
    <w:rsid w:val="00876E5C"/>
    <w:rsid w:val="00881177"/>
    <w:rsid w:val="00882AC3"/>
    <w:rsid w:val="00884CF8"/>
    <w:rsid w:val="00885D00"/>
    <w:rsid w:val="00885F37"/>
    <w:rsid w:val="00886A63"/>
    <w:rsid w:val="00886DB3"/>
    <w:rsid w:val="008904C7"/>
    <w:rsid w:val="008917AD"/>
    <w:rsid w:val="0089211D"/>
    <w:rsid w:val="008947C3"/>
    <w:rsid w:val="00895745"/>
    <w:rsid w:val="008963EB"/>
    <w:rsid w:val="008976C1"/>
    <w:rsid w:val="008A2EDC"/>
    <w:rsid w:val="008A2F2E"/>
    <w:rsid w:val="008A31A1"/>
    <w:rsid w:val="008A6DA5"/>
    <w:rsid w:val="008A72D3"/>
    <w:rsid w:val="008B2341"/>
    <w:rsid w:val="008B2D3E"/>
    <w:rsid w:val="008B697A"/>
    <w:rsid w:val="008B7CED"/>
    <w:rsid w:val="008B7E1A"/>
    <w:rsid w:val="008C085D"/>
    <w:rsid w:val="008C319B"/>
    <w:rsid w:val="008C3682"/>
    <w:rsid w:val="008C545E"/>
    <w:rsid w:val="008C5CAB"/>
    <w:rsid w:val="008C68D9"/>
    <w:rsid w:val="008C7B3F"/>
    <w:rsid w:val="008D004F"/>
    <w:rsid w:val="008D090E"/>
    <w:rsid w:val="008D0E09"/>
    <w:rsid w:val="008D0E6C"/>
    <w:rsid w:val="008D27B9"/>
    <w:rsid w:val="008D4010"/>
    <w:rsid w:val="008D4BDB"/>
    <w:rsid w:val="008D6747"/>
    <w:rsid w:val="008E1024"/>
    <w:rsid w:val="008E2186"/>
    <w:rsid w:val="008E3A12"/>
    <w:rsid w:val="008E5761"/>
    <w:rsid w:val="008E5AF6"/>
    <w:rsid w:val="008F0915"/>
    <w:rsid w:val="008F0F53"/>
    <w:rsid w:val="008F1EF1"/>
    <w:rsid w:val="008F53BF"/>
    <w:rsid w:val="009004FE"/>
    <w:rsid w:val="00900AF9"/>
    <w:rsid w:val="00900B6C"/>
    <w:rsid w:val="009014E0"/>
    <w:rsid w:val="00901D05"/>
    <w:rsid w:val="00901F5A"/>
    <w:rsid w:val="00902DE1"/>
    <w:rsid w:val="009047D2"/>
    <w:rsid w:val="00910CD2"/>
    <w:rsid w:val="009134F7"/>
    <w:rsid w:val="00915C29"/>
    <w:rsid w:val="009172CE"/>
    <w:rsid w:val="009176F7"/>
    <w:rsid w:val="0091791C"/>
    <w:rsid w:val="009202AF"/>
    <w:rsid w:val="00922F28"/>
    <w:rsid w:val="00923484"/>
    <w:rsid w:val="00924D8F"/>
    <w:rsid w:val="00926337"/>
    <w:rsid w:val="00932AA2"/>
    <w:rsid w:val="00936410"/>
    <w:rsid w:val="00940DF4"/>
    <w:rsid w:val="00941CD3"/>
    <w:rsid w:val="009425D6"/>
    <w:rsid w:val="00946944"/>
    <w:rsid w:val="00947C4C"/>
    <w:rsid w:val="009526B9"/>
    <w:rsid w:val="00952D35"/>
    <w:rsid w:val="00953184"/>
    <w:rsid w:val="00953D67"/>
    <w:rsid w:val="009555FF"/>
    <w:rsid w:val="00956221"/>
    <w:rsid w:val="00956F35"/>
    <w:rsid w:val="0095792D"/>
    <w:rsid w:val="00961C4A"/>
    <w:rsid w:val="00962DBD"/>
    <w:rsid w:val="0096528D"/>
    <w:rsid w:val="00965D6F"/>
    <w:rsid w:val="00967104"/>
    <w:rsid w:val="00967AFD"/>
    <w:rsid w:val="00967B73"/>
    <w:rsid w:val="00973269"/>
    <w:rsid w:val="00974D33"/>
    <w:rsid w:val="00975521"/>
    <w:rsid w:val="00975C88"/>
    <w:rsid w:val="009762D9"/>
    <w:rsid w:val="00976A1E"/>
    <w:rsid w:val="00976FF6"/>
    <w:rsid w:val="00981D1F"/>
    <w:rsid w:val="00982358"/>
    <w:rsid w:val="00983129"/>
    <w:rsid w:val="00986DA8"/>
    <w:rsid w:val="00987791"/>
    <w:rsid w:val="009906A8"/>
    <w:rsid w:val="00990B6A"/>
    <w:rsid w:val="009910BF"/>
    <w:rsid w:val="009916F1"/>
    <w:rsid w:val="00991ABF"/>
    <w:rsid w:val="00991E9B"/>
    <w:rsid w:val="0099255A"/>
    <w:rsid w:val="00992BCD"/>
    <w:rsid w:val="009939F7"/>
    <w:rsid w:val="00995EAE"/>
    <w:rsid w:val="0099643D"/>
    <w:rsid w:val="00997A7C"/>
    <w:rsid w:val="009A0833"/>
    <w:rsid w:val="009A096D"/>
    <w:rsid w:val="009A531E"/>
    <w:rsid w:val="009A5891"/>
    <w:rsid w:val="009A73F2"/>
    <w:rsid w:val="009B0C60"/>
    <w:rsid w:val="009B116D"/>
    <w:rsid w:val="009B1C0E"/>
    <w:rsid w:val="009B5A70"/>
    <w:rsid w:val="009B6806"/>
    <w:rsid w:val="009B6E2B"/>
    <w:rsid w:val="009C0080"/>
    <w:rsid w:val="009C0599"/>
    <w:rsid w:val="009C1CA2"/>
    <w:rsid w:val="009C1D4A"/>
    <w:rsid w:val="009C2603"/>
    <w:rsid w:val="009C2A91"/>
    <w:rsid w:val="009C3351"/>
    <w:rsid w:val="009C41EF"/>
    <w:rsid w:val="009C5198"/>
    <w:rsid w:val="009C567B"/>
    <w:rsid w:val="009C56C6"/>
    <w:rsid w:val="009C7B96"/>
    <w:rsid w:val="009C7C8F"/>
    <w:rsid w:val="009D1159"/>
    <w:rsid w:val="009D14D6"/>
    <w:rsid w:val="009D2458"/>
    <w:rsid w:val="009D2773"/>
    <w:rsid w:val="009D282F"/>
    <w:rsid w:val="009D3A9E"/>
    <w:rsid w:val="009D4DA5"/>
    <w:rsid w:val="009E1303"/>
    <w:rsid w:val="009E3009"/>
    <w:rsid w:val="009E50AE"/>
    <w:rsid w:val="009E77E2"/>
    <w:rsid w:val="009E7F7B"/>
    <w:rsid w:val="009F0F79"/>
    <w:rsid w:val="009F1B3D"/>
    <w:rsid w:val="009F3363"/>
    <w:rsid w:val="009F3A30"/>
    <w:rsid w:val="009F4523"/>
    <w:rsid w:val="009F48C7"/>
    <w:rsid w:val="009F5C19"/>
    <w:rsid w:val="009F691F"/>
    <w:rsid w:val="00A00B24"/>
    <w:rsid w:val="00A03D6F"/>
    <w:rsid w:val="00A03FC2"/>
    <w:rsid w:val="00A04898"/>
    <w:rsid w:val="00A06A16"/>
    <w:rsid w:val="00A10E73"/>
    <w:rsid w:val="00A1473A"/>
    <w:rsid w:val="00A162AC"/>
    <w:rsid w:val="00A211C5"/>
    <w:rsid w:val="00A232B7"/>
    <w:rsid w:val="00A23C39"/>
    <w:rsid w:val="00A23F45"/>
    <w:rsid w:val="00A23FBE"/>
    <w:rsid w:val="00A2526B"/>
    <w:rsid w:val="00A27335"/>
    <w:rsid w:val="00A31CC5"/>
    <w:rsid w:val="00A3326F"/>
    <w:rsid w:val="00A3394E"/>
    <w:rsid w:val="00A347C8"/>
    <w:rsid w:val="00A34BCE"/>
    <w:rsid w:val="00A356C8"/>
    <w:rsid w:val="00A40339"/>
    <w:rsid w:val="00A408E0"/>
    <w:rsid w:val="00A40BBF"/>
    <w:rsid w:val="00A40F36"/>
    <w:rsid w:val="00A414C0"/>
    <w:rsid w:val="00A43D3D"/>
    <w:rsid w:val="00A45A3A"/>
    <w:rsid w:val="00A47B53"/>
    <w:rsid w:val="00A47F41"/>
    <w:rsid w:val="00A516AA"/>
    <w:rsid w:val="00A52F78"/>
    <w:rsid w:val="00A54100"/>
    <w:rsid w:val="00A542A5"/>
    <w:rsid w:val="00A5467A"/>
    <w:rsid w:val="00A55DEC"/>
    <w:rsid w:val="00A5694D"/>
    <w:rsid w:val="00A577AE"/>
    <w:rsid w:val="00A621C2"/>
    <w:rsid w:val="00A65BC3"/>
    <w:rsid w:val="00A666DC"/>
    <w:rsid w:val="00A70205"/>
    <w:rsid w:val="00A711CC"/>
    <w:rsid w:val="00A721CA"/>
    <w:rsid w:val="00A72B73"/>
    <w:rsid w:val="00A73C7B"/>
    <w:rsid w:val="00A74710"/>
    <w:rsid w:val="00A74DE5"/>
    <w:rsid w:val="00A7572C"/>
    <w:rsid w:val="00A75A29"/>
    <w:rsid w:val="00A76460"/>
    <w:rsid w:val="00A76977"/>
    <w:rsid w:val="00A772DA"/>
    <w:rsid w:val="00A77C95"/>
    <w:rsid w:val="00A8106F"/>
    <w:rsid w:val="00A8375B"/>
    <w:rsid w:val="00A8381D"/>
    <w:rsid w:val="00A8766B"/>
    <w:rsid w:val="00A87E4A"/>
    <w:rsid w:val="00A90635"/>
    <w:rsid w:val="00A90878"/>
    <w:rsid w:val="00A91B0C"/>
    <w:rsid w:val="00A930B3"/>
    <w:rsid w:val="00A933E2"/>
    <w:rsid w:val="00A944D1"/>
    <w:rsid w:val="00A94A6F"/>
    <w:rsid w:val="00A95A97"/>
    <w:rsid w:val="00A977D9"/>
    <w:rsid w:val="00A978E1"/>
    <w:rsid w:val="00AA02E4"/>
    <w:rsid w:val="00AA131E"/>
    <w:rsid w:val="00AA1644"/>
    <w:rsid w:val="00AA19AF"/>
    <w:rsid w:val="00AA681E"/>
    <w:rsid w:val="00AA6A1F"/>
    <w:rsid w:val="00AB0860"/>
    <w:rsid w:val="00AB1010"/>
    <w:rsid w:val="00AB13A2"/>
    <w:rsid w:val="00AB1802"/>
    <w:rsid w:val="00AB1FD8"/>
    <w:rsid w:val="00AB2C12"/>
    <w:rsid w:val="00AB2F83"/>
    <w:rsid w:val="00AB3541"/>
    <w:rsid w:val="00AB443C"/>
    <w:rsid w:val="00AB61C4"/>
    <w:rsid w:val="00AB6C11"/>
    <w:rsid w:val="00AC0AD5"/>
    <w:rsid w:val="00AC17B2"/>
    <w:rsid w:val="00AC2AE4"/>
    <w:rsid w:val="00AC3231"/>
    <w:rsid w:val="00AC3827"/>
    <w:rsid w:val="00AC3A7F"/>
    <w:rsid w:val="00AC3D3B"/>
    <w:rsid w:val="00AC4116"/>
    <w:rsid w:val="00AC4353"/>
    <w:rsid w:val="00AC5160"/>
    <w:rsid w:val="00AC5429"/>
    <w:rsid w:val="00AC660C"/>
    <w:rsid w:val="00AC6A1A"/>
    <w:rsid w:val="00AC7639"/>
    <w:rsid w:val="00AD1FC1"/>
    <w:rsid w:val="00AD2A36"/>
    <w:rsid w:val="00AD2B8F"/>
    <w:rsid w:val="00AD3064"/>
    <w:rsid w:val="00AD4AF3"/>
    <w:rsid w:val="00AD584C"/>
    <w:rsid w:val="00AD65A2"/>
    <w:rsid w:val="00AE2C4C"/>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1CC8"/>
    <w:rsid w:val="00B02A9D"/>
    <w:rsid w:val="00B02B41"/>
    <w:rsid w:val="00B04F68"/>
    <w:rsid w:val="00B0599D"/>
    <w:rsid w:val="00B109A8"/>
    <w:rsid w:val="00B11139"/>
    <w:rsid w:val="00B111A3"/>
    <w:rsid w:val="00B1191D"/>
    <w:rsid w:val="00B11E0A"/>
    <w:rsid w:val="00B11EEB"/>
    <w:rsid w:val="00B12F61"/>
    <w:rsid w:val="00B1388A"/>
    <w:rsid w:val="00B13BB2"/>
    <w:rsid w:val="00B13DB8"/>
    <w:rsid w:val="00B153FC"/>
    <w:rsid w:val="00B1699E"/>
    <w:rsid w:val="00B16C0D"/>
    <w:rsid w:val="00B17504"/>
    <w:rsid w:val="00B20D1E"/>
    <w:rsid w:val="00B22A49"/>
    <w:rsid w:val="00B22DE4"/>
    <w:rsid w:val="00B22FD4"/>
    <w:rsid w:val="00B25335"/>
    <w:rsid w:val="00B2642E"/>
    <w:rsid w:val="00B302CA"/>
    <w:rsid w:val="00B30620"/>
    <w:rsid w:val="00B309FA"/>
    <w:rsid w:val="00B3377A"/>
    <w:rsid w:val="00B36812"/>
    <w:rsid w:val="00B36B62"/>
    <w:rsid w:val="00B4409E"/>
    <w:rsid w:val="00B45D00"/>
    <w:rsid w:val="00B4689E"/>
    <w:rsid w:val="00B521BA"/>
    <w:rsid w:val="00B54BA8"/>
    <w:rsid w:val="00B55068"/>
    <w:rsid w:val="00B554A4"/>
    <w:rsid w:val="00B62079"/>
    <w:rsid w:val="00B630E9"/>
    <w:rsid w:val="00B6366E"/>
    <w:rsid w:val="00B64F77"/>
    <w:rsid w:val="00B674DF"/>
    <w:rsid w:val="00B6776E"/>
    <w:rsid w:val="00B7161D"/>
    <w:rsid w:val="00B71988"/>
    <w:rsid w:val="00B75608"/>
    <w:rsid w:val="00B80990"/>
    <w:rsid w:val="00B8173A"/>
    <w:rsid w:val="00B82536"/>
    <w:rsid w:val="00B8292A"/>
    <w:rsid w:val="00B832FA"/>
    <w:rsid w:val="00B84561"/>
    <w:rsid w:val="00B84920"/>
    <w:rsid w:val="00B8515D"/>
    <w:rsid w:val="00B87155"/>
    <w:rsid w:val="00B8741B"/>
    <w:rsid w:val="00B8794E"/>
    <w:rsid w:val="00B907DE"/>
    <w:rsid w:val="00B91221"/>
    <w:rsid w:val="00B92148"/>
    <w:rsid w:val="00B936B7"/>
    <w:rsid w:val="00B96557"/>
    <w:rsid w:val="00B96CD3"/>
    <w:rsid w:val="00B96EBC"/>
    <w:rsid w:val="00BA0583"/>
    <w:rsid w:val="00BA48CD"/>
    <w:rsid w:val="00BA4F68"/>
    <w:rsid w:val="00BA50DD"/>
    <w:rsid w:val="00BB050A"/>
    <w:rsid w:val="00BB0DB7"/>
    <w:rsid w:val="00BB1A98"/>
    <w:rsid w:val="00BB27AA"/>
    <w:rsid w:val="00BB2BDA"/>
    <w:rsid w:val="00BB5E8D"/>
    <w:rsid w:val="00BB6E43"/>
    <w:rsid w:val="00BB7390"/>
    <w:rsid w:val="00BB7DD5"/>
    <w:rsid w:val="00BC15D5"/>
    <w:rsid w:val="00BC50AB"/>
    <w:rsid w:val="00BC694F"/>
    <w:rsid w:val="00BD0537"/>
    <w:rsid w:val="00BD08F2"/>
    <w:rsid w:val="00BD1088"/>
    <w:rsid w:val="00BD1DDE"/>
    <w:rsid w:val="00BD20F2"/>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C77"/>
    <w:rsid w:val="00BF54CF"/>
    <w:rsid w:val="00BF658B"/>
    <w:rsid w:val="00BF6612"/>
    <w:rsid w:val="00C0026B"/>
    <w:rsid w:val="00C009CB"/>
    <w:rsid w:val="00C00E49"/>
    <w:rsid w:val="00C016FD"/>
    <w:rsid w:val="00C02237"/>
    <w:rsid w:val="00C05F1A"/>
    <w:rsid w:val="00C10CCC"/>
    <w:rsid w:val="00C117B3"/>
    <w:rsid w:val="00C13E0F"/>
    <w:rsid w:val="00C1602F"/>
    <w:rsid w:val="00C16F54"/>
    <w:rsid w:val="00C17A95"/>
    <w:rsid w:val="00C201BE"/>
    <w:rsid w:val="00C2169D"/>
    <w:rsid w:val="00C21E88"/>
    <w:rsid w:val="00C22CFD"/>
    <w:rsid w:val="00C233A8"/>
    <w:rsid w:val="00C32145"/>
    <w:rsid w:val="00C3316B"/>
    <w:rsid w:val="00C344CA"/>
    <w:rsid w:val="00C347C1"/>
    <w:rsid w:val="00C34BA1"/>
    <w:rsid w:val="00C36943"/>
    <w:rsid w:val="00C36D6D"/>
    <w:rsid w:val="00C4375D"/>
    <w:rsid w:val="00C43ADF"/>
    <w:rsid w:val="00C44906"/>
    <w:rsid w:val="00C458F7"/>
    <w:rsid w:val="00C46F31"/>
    <w:rsid w:val="00C50224"/>
    <w:rsid w:val="00C5206F"/>
    <w:rsid w:val="00C52B8D"/>
    <w:rsid w:val="00C54986"/>
    <w:rsid w:val="00C55533"/>
    <w:rsid w:val="00C57494"/>
    <w:rsid w:val="00C603D0"/>
    <w:rsid w:val="00C61785"/>
    <w:rsid w:val="00C625DC"/>
    <w:rsid w:val="00C629E5"/>
    <w:rsid w:val="00C62FA4"/>
    <w:rsid w:val="00C637A7"/>
    <w:rsid w:val="00C6457C"/>
    <w:rsid w:val="00C650F5"/>
    <w:rsid w:val="00C65513"/>
    <w:rsid w:val="00C655FB"/>
    <w:rsid w:val="00C65899"/>
    <w:rsid w:val="00C660D0"/>
    <w:rsid w:val="00C66791"/>
    <w:rsid w:val="00C675D6"/>
    <w:rsid w:val="00C677FA"/>
    <w:rsid w:val="00C70030"/>
    <w:rsid w:val="00C71EA6"/>
    <w:rsid w:val="00C73C35"/>
    <w:rsid w:val="00C76C45"/>
    <w:rsid w:val="00C76D54"/>
    <w:rsid w:val="00C8268D"/>
    <w:rsid w:val="00C83179"/>
    <w:rsid w:val="00C83CDB"/>
    <w:rsid w:val="00C847C8"/>
    <w:rsid w:val="00C86D9E"/>
    <w:rsid w:val="00C87E76"/>
    <w:rsid w:val="00C90406"/>
    <w:rsid w:val="00C91210"/>
    <w:rsid w:val="00C928CE"/>
    <w:rsid w:val="00C92A2A"/>
    <w:rsid w:val="00C9456D"/>
    <w:rsid w:val="00C9535A"/>
    <w:rsid w:val="00C95913"/>
    <w:rsid w:val="00CA3A3D"/>
    <w:rsid w:val="00CA5EB5"/>
    <w:rsid w:val="00CA7238"/>
    <w:rsid w:val="00CA7BDD"/>
    <w:rsid w:val="00CB1246"/>
    <w:rsid w:val="00CB15DB"/>
    <w:rsid w:val="00CB18B6"/>
    <w:rsid w:val="00CB2B9B"/>
    <w:rsid w:val="00CB2FF3"/>
    <w:rsid w:val="00CB3044"/>
    <w:rsid w:val="00CB39B0"/>
    <w:rsid w:val="00CB4338"/>
    <w:rsid w:val="00CB4CB7"/>
    <w:rsid w:val="00CB4D62"/>
    <w:rsid w:val="00CB5401"/>
    <w:rsid w:val="00CB5446"/>
    <w:rsid w:val="00CB6339"/>
    <w:rsid w:val="00CB79C0"/>
    <w:rsid w:val="00CB7BAE"/>
    <w:rsid w:val="00CB7C62"/>
    <w:rsid w:val="00CC1262"/>
    <w:rsid w:val="00CC2643"/>
    <w:rsid w:val="00CC3C1A"/>
    <w:rsid w:val="00CC4461"/>
    <w:rsid w:val="00CC505C"/>
    <w:rsid w:val="00CC621F"/>
    <w:rsid w:val="00CC6A54"/>
    <w:rsid w:val="00CC7E93"/>
    <w:rsid w:val="00CD038A"/>
    <w:rsid w:val="00CD03E8"/>
    <w:rsid w:val="00CD11BF"/>
    <w:rsid w:val="00CD1B24"/>
    <w:rsid w:val="00CD5DE0"/>
    <w:rsid w:val="00CD5EAE"/>
    <w:rsid w:val="00CD6A47"/>
    <w:rsid w:val="00CD71D4"/>
    <w:rsid w:val="00CD770D"/>
    <w:rsid w:val="00CE1DA0"/>
    <w:rsid w:val="00CE2CBB"/>
    <w:rsid w:val="00CE3234"/>
    <w:rsid w:val="00CE32BC"/>
    <w:rsid w:val="00CE6714"/>
    <w:rsid w:val="00CE7C68"/>
    <w:rsid w:val="00D01ED4"/>
    <w:rsid w:val="00D02356"/>
    <w:rsid w:val="00D02747"/>
    <w:rsid w:val="00D032B1"/>
    <w:rsid w:val="00D03C98"/>
    <w:rsid w:val="00D041C2"/>
    <w:rsid w:val="00D04B8A"/>
    <w:rsid w:val="00D04DDB"/>
    <w:rsid w:val="00D07F49"/>
    <w:rsid w:val="00D13B7E"/>
    <w:rsid w:val="00D13ED6"/>
    <w:rsid w:val="00D1472F"/>
    <w:rsid w:val="00D14AAB"/>
    <w:rsid w:val="00D15C95"/>
    <w:rsid w:val="00D1635D"/>
    <w:rsid w:val="00D1687C"/>
    <w:rsid w:val="00D1749C"/>
    <w:rsid w:val="00D20068"/>
    <w:rsid w:val="00D22EBE"/>
    <w:rsid w:val="00D233BC"/>
    <w:rsid w:val="00D25EB2"/>
    <w:rsid w:val="00D26BD9"/>
    <w:rsid w:val="00D31788"/>
    <w:rsid w:val="00D32439"/>
    <w:rsid w:val="00D32A36"/>
    <w:rsid w:val="00D33C20"/>
    <w:rsid w:val="00D35885"/>
    <w:rsid w:val="00D4073D"/>
    <w:rsid w:val="00D414BF"/>
    <w:rsid w:val="00D4518E"/>
    <w:rsid w:val="00D4720B"/>
    <w:rsid w:val="00D50A92"/>
    <w:rsid w:val="00D5189A"/>
    <w:rsid w:val="00D5447E"/>
    <w:rsid w:val="00D551B5"/>
    <w:rsid w:val="00D56CB4"/>
    <w:rsid w:val="00D57752"/>
    <w:rsid w:val="00D603A9"/>
    <w:rsid w:val="00D61A22"/>
    <w:rsid w:val="00D626E3"/>
    <w:rsid w:val="00D63742"/>
    <w:rsid w:val="00D651F8"/>
    <w:rsid w:val="00D65917"/>
    <w:rsid w:val="00D66BE8"/>
    <w:rsid w:val="00D67163"/>
    <w:rsid w:val="00D6716D"/>
    <w:rsid w:val="00D70DB1"/>
    <w:rsid w:val="00D72E41"/>
    <w:rsid w:val="00D72F02"/>
    <w:rsid w:val="00D74433"/>
    <w:rsid w:val="00D7568A"/>
    <w:rsid w:val="00D76AB0"/>
    <w:rsid w:val="00D779FE"/>
    <w:rsid w:val="00D80E13"/>
    <w:rsid w:val="00D81161"/>
    <w:rsid w:val="00D81D06"/>
    <w:rsid w:val="00D823BA"/>
    <w:rsid w:val="00D82C69"/>
    <w:rsid w:val="00D83FBA"/>
    <w:rsid w:val="00D850D3"/>
    <w:rsid w:val="00D869DB"/>
    <w:rsid w:val="00D869EC"/>
    <w:rsid w:val="00D90456"/>
    <w:rsid w:val="00D9047A"/>
    <w:rsid w:val="00D9274E"/>
    <w:rsid w:val="00D93060"/>
    <w:rsid w:val="00D96682"/>
    <w:rsid w:val="00DA10AC"/>
    <w:rsid w:val="00DA26D2"/>
    <w:rsid w:val="00DA3E30"/>
    <w:rsid w:val="00DA501E"/>
    <w:rsid w:val="00DA763C"/>
    <w:rsid w:val="00DB7B22"/>
    <w:rsid w:val="00DC21CC"/>
    <w:rsid w:val="00DC39C0"/>
    <w:rsid w:val="00DC3B5B"/>
    <w:rsid w:val="00DC446F"/>
    <w:rsid w:val="00DC58E2"/>
    <w:rsid w:val="00DC65A1"/>
    <w:rsid w:val="00DC7E3E"/>
    <w:rsid w:val="00DD18A5"/>
    <w:rsid w:val="00DD2600"/>
    <w:rsid w:val="00DD2CAD"/>
    <w:rsid w:val="00DD2F3E"/>
    <w:rsid w:val="00DD42E4"/>
    <w:rsid w:val="00DD59EC"/>
    <w:rsid w:val="00DD5BA4"/>
    <w:rsid w:val="00DE0DB0"/>
    <w:rsid w:val="00DE2015"/>
    <w:rsid w:val="00DE6967"/>
    <w:rsid w:val="00DE6F98"/>
    <w:rsid w:val="00DE7D4D"/>
    <w:rsid w:val="00DF2756"/>
    <w:rsid w:val="00DF27CF"/>
    <w:rsid w:val="00DF41D0"/>
    <w:rsid w:val="00DF467E"/>
    <w:rsid w:val="00E004C4"/>
    <w:rsid w:val="00E019E8"/>
    <w:rsid w:val="00E01B07"/>
    <w:rsid w:val="00E033D8"/>
    <w:rsid w:val="00E05417"/>
    <w:rsid w:val="00E061AA"/>
    <w:rsid w:val="00E06862"/>
    <w:rsid w:val="00E07851"/>
    <w:rsid w:val="00E101AE"/>
    <w:rsid w:val="00E10E73"/>
    <w:rsid w:val="00E11DBF"/>
    <w:rsid w:val="00E11E71"/>
    <w:rsid w:val="00E17DC6"/>
    <w:rsid w:val="00E204DB"/>
    <w:rsid w:val="00E21471"/>
    <w:rsid w:val="00E220EA"/>
    <w:rsid w:val="00E244E9"/>
    <w:rsid w:val="00E246AB"/>
    <w:rsid w:val="00E27CC8"/>
    <w:rsid w:val="00E30836"/>
    <w:rsid w:val="00E32209"/>
    <w:rsid w:val="00E327CD"/>
    <w:rsid w:val="00E331F5"/>
    <w:rsid w:val="00E34955"/>
    <w:rsid w:val="00E36264"/>
    <w:rsid w:val="00E366DC"/>
    <w:rsid w:val="00E36C0E"/>
    <w:rsid w:val="00E401E1"/>
    <w:rsid w:val="00E40FA0"/>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7041D"/>
    <w:rsid w:val="00E80D9C"/>
    <w:rsid w:val="00E822DE"/>
    <w:rsid w:val="00E83D26"/>
    <w:rsid w:val="00E84529"/>
    <w:rsid w:val="00E84930"/>
    <w:rsid w:val="00E84A4F"/>
    <w:rsid w:val="00E84F42"/>
    <w:rsid w:val="00E874EC"/>
    <w:rsid w:val="00E9416D"/>
    <w:rsid w:val="00E946D3"/>
    <w:rsid w:val="00E94963"/>
    <w:rsid w:val="00E94CA1"/>
    <w:rsid w:val="00E94ED5"/>
    <w:rsid w:val="00E95326"/>
    <w:rsid w:val="00E966F0"/>
    <w:rsid w:val="00E969C2"/>
    <w:rsid w:val="00E9701A"/>
    <w:rsid w:val="00E975EB"/>
    <w:rsid w:val="00E975EE"/>
    <w:rsid w:val="00EA0110"/>
    <w:rsid w:val="00EA0E35"/>
    <w:rsid w:val="00EA2FEC"/>
    <w:rsid w:val="00EA385D"/>
    <w:rsid w:val="00EA4D4C"/>
    <w:rsid w:val="00EA5D83"/>
    <w:rsid w:val="00EA68B5"/>
    <w:rsid w:val="00EA6937"/>
    <w:rsid w:val="00EA6CB3"/>
    <w:rsid w:val="00EB083C"/>
    <w:rsid w:val="00EB266D"/>
    <w:rsid w:val="00EB282D"/>
    <w:rsid w:val="00EB2D74"/>
    <w:rsid w:val="00EB40B7"/>
    <w:rsid w:val="00EB579C"/>
    <w:rsid w:val="00EB7719"/>
    <w:rsid w:val="00EC14CF"/>
    <w:rsid w:val="00EC4A5A"/>
    <w:rsid w:val="00EC51C6"/>
    <w:rsid w:val="00EC5D67"/>
    <w:rsid w:val="00ED026A"/>
    <w:rsid w:val="00ED02E7"/>
    <w:rsid w:val="00ED26E7"/>
    <w:rsid w:val="00ED32F7"/>
    <w:rsid w:val="00ED4209"/>
    <w:rsid w:val="00ED4CDD"/>
    <w:rsid w:val="00ED6A41"/>
    <w:rsid w:val="00ED7FE3"/>
    <w:rsid w:val="00EE096D"/>
    <w:rsid w:val="00EE4B32"/>
    <w:rsid w:val="00EE5CD9"/>
    <w:rsid w:val="00EE5F58"/>
    <w:rsid w:val="00EE636D"/>
    <w:rsid w:val="00EE7116"/>
    <w:rsid w:val="00EF1C94"/>
    <w:rsid w:val="00EF27E0"/>
    <w:rsid w:val="00EF2D4F"/>
    <w:rsid w:val="00EF3C02"/>
    <w:rsid w:val="00EF55F8"/>
    <w:rsid w:val="00EF6589"/>
    <w:rsid w:val="00EF6CF1"/>
    <w:rsid w:val="00EF7BEC"/>
    <w:rsid w:val="00F001C8"/>
    <w:rsid w:val="00F00DD4"/>
    <w:rsid w:val="00F02BC3"/>
    <w:rsid w:val="00F02D1C"/>
    <w:rsid w:val="00F04B8E"/>
    <w:rsid w:val="00F05E65"/>
    <w:rsid w:val="00F13D55"/>
    <w:rsid w:val="00F1492A"/>
    <w:rsid w:val="00F14E8D"/>
    <w:rsid w:val="00F15969"/>
    <w:rsid w:val="00F167CD"/>
    <w:rsid w:val="00F16C99"/>
    <w:rsid w:val="00F17039"/>
    <w:rsid w:val="00F17923"/>
    <w:rsid w:val="00F17AFE"/>
    <w:rsid w:val="00F21FF5"/>
    <w:rsid w:val="00F24621"/>
    <w:rsid w:val="00F255AA"/>
    <w:rsid w:val="00F25892"/>
    <w:rsid w:val="00F26AFE"/>
    <w:rsid w:val="00F26EB7"/>
    <w:rsid w:val="00F27269"/>
    <w:rsid w:val="00F27D85"/>
    <w:rsid w:val="00F304B7"/>
    <w:rsid w:val="00F30FF8"/>
    <w:rsid w:val="00F34C5D"/>
    <w:rsid w:val="00F354D7"/>
    <w:rsid w:val="00F36C08"/>
    <w:rsid w:val="00F40D18"/>
    <w:rsid w:val="00F40E54"/>
    <w:rsid w:val="00F40EC6"/>
    <w:rsid w:val="00F41A87"/>
    <w:rsid w:val="00F41F4B"/>
    <w:rsid w:val="00F44790"/>
    <w:rsid w:val="00F462B3"/>
    <w:rsid w:val="00F465DD"/>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65787"/>
    <w:rsid w:val="00F675A0"/>
    <w:rsid w:val="00F70BF8"/>
    <w:rsid w:val="00F7216B"/>
    <w:rsid w:val="00F72FBB"/>
    <w:rsid w:val="00F770B7"/>
    <w:rsid w:val="00F8082E"/>
    <w:rsid w:val="00F878CA"/>
    <w:rsid w:val="00F87B97"/>
    <w:rsid w:val="00F90386"/>
    <w:rsid w:val="00F9039B"/>
    <w:rsid w:val="00F90F81"/>
    <w:rsid w:val="00F91F29"/>
    <w:rsid w:val="00F922E2"/>
    <w:rsid w:val="00F92685"/>
    <w:rsid w:val="00F938C8"/>
    <w:rsid w:val="00F94697"/>
    <w:rsid w:val="00F9600D"/>
    <w:rsid w:val="00F97995"/>
    <w:rsid w:val="00FA25C3"/>
    <w:rsid w:val="00FA2D85"/>
    <w:rsid w:val="00FA311F"/>
    <w:rsid w:val="00FA55E3"/>
    <w:rsid w:val="00FA5612"/>
    <w:rsid w:val="00FB18B0"/>
    <w:rsid w:val="00FB1C22"/>
    <w:rsid w:val="00FB1F2A"/>
    <w:rsid w:val="00FB282A"/>
    <w:rsid w:val="00FB31B3"/>
    <w:rsid w:val="00FB5261"/>
    <w:rsid w:val="00FB6366"/>
    <w:rsid w:val="00FB68E1"/>
    <w:rsid w:val="00FC24D9"/>
    <w:rsid w:val="00FC40F7"/>
    <w:rsid w:val="00FC5940"/>
    <w:rsid w:val="00FC61A9"/>
    <w:rsid w:val="00FC692F"/>
    <w:rsid w:val="00FC6B22"/>
    <w:rsid w:val="00FC7791"/>
    <w:rsid w:val="00FD06A4"/>
    <w:rsid w:val="00FD2CB2"/>
    <w:rsid w:val="00FD3CF2"/>
    <w:rsid w:val="00FD5160"/>
    <w:rsid w:val="00FD549D"/>
    <w:rsid w:val="00FD5814"/>
    <w:rsid w:val="00FD5925"/>
    <w:rsid w:val="00FD622D"/>
    <w:rsid w:val="00FD69DD"/>
    <w:rsid w:val="00FD7142"/>
    <w:rsid w:val="00FD7CB4"/>
    <w:rsid w:val="00FD7FA8"/>
    <w:rsid w:val="00FE0B91"/>
    <w:rsid w:val="00FE1BFC"/>
    <w:rsid w:val="00FE1DAF"/>
    <w:rsid w:val="00FE2052"/>
    <w:rsid w:val="00FE33F7"/>
    <w:rsid w:val="00FE375B"/>
    <w:rsid w:val="00FE3983"/>
    <w:rsid w:val="00FF0047"/>
    <w:rsid w:val="00FF15B5"/>
    <w:rsid w:val="00FF1AFB"/>
    <w:rsid w:val="00FF2439"/>
    <w:rsid w:val="00FF39C5"/>
    <w:rsid w:val="00FF3B7F"/>
    <w:rsid w:val="00FF41E9"/>
    <w:rsid w:val="00FF4304"/>
    <w:rsid w:val="00FF4843"/>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FE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0833"/>
    <w:pPr>
      <w:tabs>
        <w:tab w:val="center" w:pos="4536"/>
        <w:tab w:val="right" w:pos="9072"/>
      </w:tabs>
    </w:pPr>
  </w:style>
  <w:style w:type="character" w:customStyle="1" w:styleId="KopfzeileZchn">
    <w:name w:val="Kopfzeile Zchn"/>
    <w:basedOn w:val="Absatz-Standardschriftart"/>
    <w:link w:val="Kopfzeile"/>
    <w:uiPriority w:val="99"/>
    <w:rsid w:val="009A083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A0833"/>
    <w:pPr>
      <w:tabs>
        <w:tab w:val="center" w:pos="4536"/>
        <w:tab w:val="right" w:pos="9072"/>
      </w:tabs>
    </w:pPr>
  </w:style>
  <w:style w:type="character" w:customStyle="1" w:styleId="FuzeileZchn">
    <w:name w:val="Fußzeile Zchn"/>
    <w:basedOn w:val="Absatz-Standardschriftart"/>
    <w:link w:val="Fuzeile"/>
    <w:uiPriority w:val="99"/>
    <w:rsid w:val="009A0833"/>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A08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33"/>
    <w:rPr>
      <w:rFonts w:ascii="Tahoma" w:eastAsia="Times New Roman" w:hAnsi="Tahoma" w:cs="Tahoma"/>
      <w:sz w:val="16"/>
      <w:szCs w:val="16"/>
      <w:lang w:eastAsia="de-DE"/>
    </w:rPr>
  </w:style>
  <w:style w:type="character" w:styleId="Hyperlink">
    <w:name w:val="Hyperlink"/>
    <w:uiPriority w:val="99"/>
    <w:unhideWhenUsed/>
    <w:rsid w:val="009A0833"/>
    <w:rPr>
      <w:color w:val="0000FF"/>
      <w:u w:val="single"/>
    </w:rPr>
  </w:style>
  <w:style w:type="character" w:styleId="Kommentarzeichen">
    <w:name w:val="annotation reference"/>
    <w:basedOn w:val="Absatz-Standardschriftart"/>
    <w:uiPriority w:val="99"/>
    <w:semiHidden/>
    <w:unhideWhenUsed/>
    <w:rsid w:val="001D5B2B"/>
    <w:rPr>
      <w:sz w:val="16"/>
      <w:szCs w:val="16"/>
    </w:rPr>
  </w:style>
  <w:style w:type="paragraph" w:styleId="Kommentartext">
    <w:name w:val="annotation text"/>
    <w:basedOn w:val="Standard"/>
    <w:link w:val="KommentartextZchn"/>
    <w:uiPriority w:val="99"/>
    <w:semiHidden/>
    <w:unhideWhenUsed/>
    <w:rsid w:val="001D5B2B"/>
    <w:rPr>
      <w:sz w:val="20"/>
      <w:szCs w:val="20"/>
    </w:rPr>
  </w:style>
  <w:style w:type="character" w:customStyle="1" w:styleId="KommentartextZchn">
    <w:name w:val="Kommentartext Zchn"/>
    <w:basedOn w:val="Absatz-Standardschriftart"/>
    <w:link w:val="Kommentartext"/>
    <w:uiPriority w:val="99"/>
    <w:semiHidden/>
    <w:rsid w:val="001D5B2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D5B2B"/>
    <w:rPr>
      <w:b/>
      <w:bCs/>
    </w:rPr>
  </w:style>
  <w:style w:type="character" w:customStyle="1" w:styleId="KommentarthemaZchn">
    <w:name w:val="Kommentarthema Zchn"/>
    <w:basedOn w:val="KommentartextZchn"/>
    <w:link w:val="Kommentarthema"/>
    <w:uiPriority w:val="99"/>
    <w:semiHidden/>
    <w:rsid w:val="001D5B2B"/>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516655"/>
    <w:pPr>
      <w:ind w:left="720"/>
      <w:contextualSpacing/>
    </w:pPr>
    <w:rPr>
      <w:lang w:val="de-AT" w:eastAsia="de-AT"/>
    </w:rPr>
  </w:style>
  <w:style w:type="paragraph" w:styleId="Funotentext">
    <w:name w:val="footnote text"/>
    <w:basedOn w:val="Standard"/>
    <w:link w:val="FunotentextZchn"/>
    <w:uiPriority w:val="99"/>
    <w:semiHidden/>
    <w:unhideWhenUsed/>
    <w:rsid w:val="001E7F87"/>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E7F87"/>
    <w:rPr>
      <w:sz w:val="20"/>
      <w:szCs w:val="20"/>
    </w:rPr>
  </w:style>
  <w:style w:type="character" w:styleId="Funotenzeichen">
    <w:name w:val="footnote reference"/>
    <w:basedOn w:val="Absatz-Standardschriftart"/>
    <w:uiPriority w:val="99"/>
    <w:semiHidden/>
    <w:unhideWhenUsed/>
    <w:rsid w:val="001E7F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EC"/>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33"/>
    <w:pPr>
      <w:tabs>
        <w:tab w:val="center" w:pos="4536"/>
        <w:tab w:val="right" w:pos="9072"/>
      </w:tabs>
    </w:pPr>
  </w:style>
  <w:style w:type="character" w:customStyle="1" w:styleId="HeaderChar">
    <w:name w:val="Header Char"/>
    <w:basedOn w:val="DefaultParagraphFont"/>
    <w:link w:val="Header"/>
    <w:uiPriority w:val="99"/>
    <w:rsid w:val="009A0833"/>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9A0833"/>
    <w:pPr>
      <w:tabs>
        <w:tab w:val="center" w:pos="4536"/>
        <w:tab w:val="right" w:pos="9072"/>
      </w:tabs>
    </w:pPr>
  </w:style>
  <w:style w:type="character" w:customStyle="1" w:styleId="FooterChar">
    <w:name w:val="Footer Char"/>
    <w:basedOn w:val="DefaultParagraphFont"/>
    <w:link w:val="Footer"/>
    <w:uiPriority w:val="99"/>
    <w:rsid w:val="009A0833"/>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9A0833"/>
    <w:rPr>
      <w:rFonts w:ascii="Tahoma" w:hAnsi="Tahoma" w:cs="Tahoma"/>
      <w:sz w:val="16"/>
      <w:szCs w:val="16"/>
    </w:rPr>
  </w:style>
  <w:style w:type="character" w:customStyle="1" w:styleId="BalloonTextChar">
    <w:name w:val="Balloon Text Char"/>
    <w:basedOn w:val="DefaultParagraphFont"/>
    <w:link w:val="BalloonText"/>
    <w:uiPriority w:val="99"/>
    <w:semiHidden/>
    <w:rsid w:val="009A0833"/>
    <w:rPr>
      <w:rFonts w:ascii="Tahoma" w:eastAsia="Times New Roman" w:hAnsi="Tahoma" w:cs="Tahoma"/>
      <w:sz w:val="16"/>
      <w:szCs w:val="16"/>
      <w:lang w:eastAsia="de-DE"/>
    </w:rPr>
  </w:style>
  <w:style w:type="character" w:styleId="Hyperlink">
    <w:name w:val="Hyperlink"/>
    <w:uiPriority w:val="99"/>
    <w:unhideWhenUsed/>
    <w:rsid w:val="009A0833"/>
    <w:rPr>
      <w:color w:val="0000FF"/>
      <w:u w:val="single"/>
    </w:rPr>
  </w:style>
  <w:style w:type="character" w:styleId="CommentReference">
    <w:name w:val="annotation reference"/>
    <w:basedOn w:val="DefaultParagraphFont"/>
    <w:uiPriority w:val="99"/>
    <w:semiHidden/>
    <w:unhideWhenUsed/>
    <w:rsid w:val="001D5B2B"/>
    <w:rPr>
      <w:sz w:val="16"/>
      <w:szCs w:val="16"/>
    </w:rPr>
  </w:style>
  <w:style w:type="paragraph" w:styleId="CommentText">
    <w:name w:val="annotation text"/>
    <w:basedOn w:val="Normal"/>
    <w:link w:val="CommentTextChar"/>
    <w:uiPriority w:val="99"/>
    <w:semiHidden/>
    <w:unhideWhenUsed/>
    <w:rsid w:val="001D5B2B"/>
    <w:rPr>
      <w:sz w:val="20"/>
      <w:szCs w:val="20"/>
    </w:rPr>
  </w:style>
  <w:style w:type="character" w:customStyle="1" w:styleId="CommentTextChar">
    <w:name w:val="Comment Text Char"/>
    <w:basedOn w:val="DefaultParagraphFont"/>
    <w:link w:val="CommentText"/>
    <w:uiPriority w:val="99"/>
    <w:semiHidden/>
    <w:rsid w:val="001D5B2B"/>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D5B2B"/>
    <w:rPr>
      <w:b/>
      <w:bCs/>
    </w:rPr>
  </w:style>
  <w:style w:type="character" w:customStyle="1" w:styleId="CommentSubjectChar">
    <w:name w:val="Comment Subject Char"/>
    <w:basedOn w:val="CommentTextChar"/>
    <w:link w:val="CommentSubject"/>
    <w:uiPriority w:val="99"/>
    <w:semiHidden/>
    <w:rsid w:val="001D5B2B"/>
    <w:rPr>
      <w:rFonts w:ascii="Times New Roman" w:eastAsia="Times New Roman" w:hAnsi="Times New Roman"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divs>
    <w:div w:id="19993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03004-061D-4DD1-9E86-86CE6F9F5F2A}">
  <ds:schemaRefs>
    <ds:schemaRef ds:uri="http://schemas.openxmlformats.org/officeDocument/2006/bibliography"/>
  </ds:schemaRefs>
</ds:datastoreItem>
</file>

<file path=customXml/itemProps2.xml><?xml version="1.0" encoding="utf-8"?>
<ds:datastoreItem xmlns:ds="http://schemas.openxmlformats.org/officeDocument/2006/customXml" ds:itemID="{FFFA3B02-7B10-46D7-AD70-BB23990F5FBF}">
  <ds:schemaRefs>
    <ds:schemaRef ds:uri="http://schemas.openxmlformats.org/officeDocument/2006/bibliography"/>
  </ds:schemaRefs>
</ds:datastoreItem>
</file>

<file path=customXml/itemProps3.xml><?xml version="1.0" encoding="utf-8"?>
<ds:datastoreItem xmlns:ds="http://schemas.openxmlformats.org/officeDocument/2006/customXml" ds:itemID="{3B8DA958-397B-4D06-A2F1-0828C06D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4729</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MS Office</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5</cp:revision>
  <cp:lastPrinted>2016-04-27T15:36:00Z</cp:lastPrinted>
  <dcterms:created xsi:type="dcterms:W3CDTF">2016-04-27T15:39:00Z</dcterms:created>
  <dcterms:modified xsi:type="dcterms:W3CDTF">2016-04-27T15:52:00Z</dcterms:modified>
</cp:coreProperties>
</file>