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7" w:rsidRPr="00492FEF" w:rsidRDefault="00D629F7" w:rsidP="00D629F7">
      <w:pPr>
        <w:pStyle w:val="StandardWeb"/>
        <w:spacing w:before="0" w:beforeAutospacing="0" w:after="0" w:afterAutospacing="0" w:line="264" w:lineRule="auto"/>
        <w:rPr>
          <w:rFonts w:ascii="Arial" w:hAnsi="Arial" w:cs="Arial"/>
          <w:b/>
          <w:bCs/>
          <w:color w:val="000000"/>
        </w:rPr>
      </w:pPr>
    </w:p>
    <w:p w:rsidR="00FA78DA" w:rsidRPr="00492FEF" w:rsidRDefault="00FA78DA" w:rsidP="00D629F7">
      <w:pPr>
        <w:pStyle w:val="StandardWeb"/>
        <w:spacing w:before="0" w:beforeAutospacing="0" w:after="0" w:afterAutospacing="0" w:line="264" w:lineRule="auto"/>
        <w:rPr>
          <w:rFonts w:ascii="Arial" w:hAnsi="Arial" w:cs="Arial"/>
          <w:b/>
          <w:bCs/>
          <w:color w:val="000000"/>
        </w:rPr>
      </w:pPr>
    </w:p>
    <w:p w:rsidR="00377F21" w:rsidRPr="00492FEF" w:rsidRDefault="00377F21" w:rsidP="00D629F7">
      <w:pPr>
        <w:pStyle w:val="StandardWeb"/>
        <w:spacing w:before="0" w:beforeAutospacing="0" w:after="0" w:afterAutospacing="0" w:line="264" w:lineRule="auto"/>
        <w:rPr>
          <w:rFonts w:ascii="Arial" w:hAnsi="Arial" w:cs="Arial"/>
        </w:rPr>
      </w:pPr>
      <w:r w:rsidRPr="00492FEF">
        <w:rPr>
          <w:rFonts w:ascii="Arial" w:hAnsi="Arial" w:cs="Arial"/>
          <w:b/>
          <w:bCs/>
          <w:color w:val="000000"/>
        </w:rPr>
        <w:t>Prof. Dr. Peter Kufer</w:t>
      </w:r>
    </w:p>
    <w:p w:rsidR="00377F21" w:rsidRPr="00492FEF" w:rsidRDefault="00377F21" w:rsidP="00D629F7">
      <w:pPr>
        <w:pStyle w:val="StandardWeb"/>
        <w:spacing w:before="0" w:beforeAutospacing="0" w:after="0" w:afterAutospacing="0" w:line="264" w:lineRule="auto"/>
        <w:rPr>
          <w:rFonts w:ascii="Arial" w:hAnsi="Arial" w:cs="Arial"/>
          <w:color w:val="000000"/>
        </w:rPr>
      </w:pPr>
      <w:r w:rsidRPr="00492FEF">
        <w:rPr>
          <w:rFonts w:ascii="Arial" w:hAnsi="Arial" w:cs="Arial"/>
          <w:color w:val="000000"/>
        </w:rPr>
        <w:t>Professor für Immunologie, Amgen Vice President BiTE</w:t>
      </w:r>
      <w:r w:rsidRPr="00492FEF">
        <w:rPr>
          <w:rFonts w:ascii="Arial" w:hAnsi="Arial" w:cs="Arial"/>
          <w:color w:val="000000"/>
          <w:vertAlign w:val="superscript"/>
        </w:rPr>
        <w:t>®</w:t>
      </w:r>
      <w:r w:rsidRPr="00492FEF">
        <w:rPr>
          <w:rFonts w:ascii="Arial" w:hAnsi="Arial" w:cs="Arial"/>
          <w:color w:val="000000"/>
        </w:rPr>
        <w:t xml:space="preserve"> Technology, </w:t>
      </w:r>
      <w:r w:rsidR="00E864D9" w:rsidRPr="00492FEF">
        <w:rPr>
          <w:rFonts w:ascii="Arial" w:hAnsi="Arial" w:cs="Arial"/>
          <w:color w:val="000000"/>
        </w:rPr>
        <w:br/>
      </w:r>
      <w:r w:rsidRPr="00492FEF">
        <w:rPr>
          <w:rFonts w:ascii="Arial" w:hAnsi="Arial" w:cs="Arial"/>
          <w:color w:val="000000"/>
        </w:rPr>
        <w:t>Leiter und</w:t>
      </w:r>
      <w:r w:rsidR="00E864D9" w:rsidRPr="00492FEF">
        <w:rPr>
          <w:rFonts w:ascii="Arial" w:hAnsi="Arial" w:cs="Arial"/>
          <w:color w:val="000000"/>
        </w:rPr>
        <w:t xml:space="preserve"> </w:t>
      </w:r>
      <w:r w:rsidRPr="00492FEF">
        <w:rPr>
          <w:rFonts w:ascii="Arial" w:hAnsi="Arial" w:cs="Arial"/>
          <w:color w:val="000000"/>
        </w:rPr>
        <w:t>Geschäftsführer der Amgen Research (Munich) GmbH</w:t>
      </w:r>
    </w:p>
    <w:p w:rsidR="00E1791C" w:rsidRPr="00492FEF" w:rsidRDefault="00E1791C" w:rsidP="00D629F7">
      <w:pPr>
        <w:pStyle w:val="StandardWeb"/>
        <w:spacing w:before="0" w:beforeAutospacing="0" w:after="0" w:afterAutospacing="0" w:line="264" w:lineRule="auto"/>
        <w:rPr>
          <w:rFonts w:ascii="Arial" w:hAnsi="Arial" w:cs="Arial"/>
        </w:rPr>
      </w:pPr>
    </w:p>
    <w:p w:rsidR="004F5A9B" w:rsidRPr="004F5A9B" w:rsidRDefault="004F5A9B" w:rsidP="004F5A9B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4F5A9B">
        <w:rPr>
          <w:rFonts w:ascii="Arial" w:hAnsi="Arial" w:cs="Arial"/>
          <w:sz w:val="22"/>
          <w:szCs w:val="22"/>
        </w:rPr>
        <w:t xml:space="preserve">Substanzen der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>-Wirkstoffklasse dirigieren die Immunabwehr von Tumorpatienten</w:t>
      </w:r>
      <w:r>
        <w:rPr>
          <w:rFonts w:ascii="Arial" w:hAnsi="Arial" w:cs="Arial"/>
          <w:sz w:val="22"/>
          <w:szCs w:val="22"/>
        </w:rPr>
        <w:t>*</w:t>
      </w:r>
      <w:r w:rsidRPr="004F5A9B">
        <w:rPr>
          <w:rFonts w:ascii="Arial" w:hAnsi="Arial" w:cs="Arial"/>
          <w:sz w:val="22"/>
          <w:szCs w:val="22"/>
        </w:rPr>
        <w:t xml:space="preserve"> gegen ihre eigenen Krebszellen:</w:t>
      </w:r>
    </w:p>
    <w:p w:rsidR="004F5A9B" w:rsidRPr="004F5A9B" w:rsidRDefault="004F5A9B" w:rsidP="004F5A9B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>-Moleküle haben zwei verschiedene Bindungsarme, womit sie auf der einen Seite an eine Krebszelle andocken und gleichzeitig auf der anderen Seite den aktivierenden Hauptschalter auf T-Zellen betätigen können, so dass Krebszellen von T-Zellen zerstört werden.</w:t>
      </w:r>
    </w:p>
    <w:p w:rsidR="004F5A9B" w:rsidRPr="004F5A9B" w:rsidRDefault="004F5A9B" w:rsidP="004F5A9B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4F5A9B">
        <w:rPr>
          <w:rFonts w:ascii="Arial" w:hAnsi="Arial" w:cs="Arial"/>
          <w:sz w:val="22"/>
          <w:szCs w:val="22"/>
        </w:rPr>
        <w:t xml:space="preserve">T-Zellen sind die potentesten Abwehrzellen unseres Immunsystems und wir alle haben viele Milliarden davon in unserem Körper; aber die meisten T-Zellen richten sich nicht gegen Krebszellen, sondern erkennen andere kranke Zellen, zum Beispiel virusinfizierte Zellen. Substanzen der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-Klasse wirken wie Adapter, die praktisch allen T-Zellen ermöglichen – auch der großen Mehrheit, die sich von Natur aus nicht gegen Krebszellen richtet </w:t>
      </w:r>
      <w:proofErr w:type="gramStart"/>
      <w:r w:rsidRPr="004F5A9B">
        <w:rPr>
          <w:rFonts w:ascii="Arial" w:hAnsi="Arial" w:cs="Arial"/>
          <w:sz w:val="22"/>
          <w:szCs w:val="22"/>
        </w:rPr>
        <w:t>– ,</w:t>
      </w:r>
      <w:proofErr w:type="gramEnd"/>
      <w:r w:rsidRPr="004F5A9B">
        <w:rPr>
          <w:rFonts w:ascii="Arial" w:hAnsi="Arial" w:cs="Arial"/>
          <w:sz w:val="22"/>
          <w:szCs w:val="22"/>
        </w:rPr>
        <w:t xml:space="preserve"> Tumorzellen zu erkennen und zu zerstören.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>-Moleküle sind wie Brillen für T-Zellen ohne die sie für Krebszellen blind wären.</w:t>
      </w:r>
    </w:p>
    <w:p w:rsidR="004F5A9B" w:rsidRPr="004F5A9B" w:rsidRDefault="004F5A9B" w:rsidP="004F5A9B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4F5A9B">
        <w:rPr>
          <w:rFonts w:ascii="Arial" w:hAnsi="Arial" w:cs="Arial"/>
          <w:sz w:val="22"/>
          <w:szCs w:val="22"/>
        </w:rPr>
        <w:t xml:space="preserve">Die Innovation der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-Technologie und des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-Moleküls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>, das als erste Substanz dieser Wirkstoffklasse die Zulassung als Arzneimittel erhalten hat, fand Mitte der 1990er Jahre an der Ludwig-Maximilians-Universität (</w:t>
      </w:r>
      <w:proofErr w:type="spellStart"/>
      <w:r w:rsidRPr="004F5A9B">
        <w:rPr>
          <w:rFonts w:ascii="Arial" w:hAnsi="Arial" w:cs="Arial"/>
          <w:sz w:val="22"/>
          <w:szCs w:val="22"/>
        </w:rPr>
        <w:t>LMU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) in München statt.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wurde von der Münchener Biotechnologiefirma </w:t>
      </w:r>
      <w:proofErr w:type="spellStart"/>
      <w:r w:rsidRPr="004F5A9B">
        <w:rPr>
          <w:rFonts w:ascii="Arial" w:hAnsi="Arial" w:cs="Arial"/>
          <w:sz w:val="22"/>
          <w:szCs w:val="22"/>
        </w:rPr>
        <w:t>Micromet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– einer Ausgründung aus der </w:t>
      </w:r>
      <w:proofErr w:type="spellStart"/>
      <w:r w:rsidRPr="004F5A9B">
        <w:rPr>
          <w:rFonts w:ascii="Arial" w:hAnsi="Arial" w:cs="Arial"/>
          <w:sz w:val="22"/>
          <w:szCs w:val="22"/>
        </w:rPr>
        <w:t>LMU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– weiterentwickelt bis zum Nachweis, dass das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-Prinzip in Krebspatienten, die an akuter </w:t>
      </w:r>
      <w:proofErr w:type="spellStart"/>
      <w:r w:rsidRPr="004F5A9B">
        <w:rPr>
          <w:rFonts w:ascii="Arial" w:hAnsi="Arial" w:cs="Arial"/>
          <w:sz w:val="22"/>
          <w:szCs w:val="22"/>
        </w:rPr>
        <w:t>lymphoblastischer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Leukämie leiden, sehr wirksam ist.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ist ein CD19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-Molekül, weil es sich mit seinem Krebszellbindungsarm gegen die CD19-Struktur auf der Oberfläche von Leukämiezellen richtet. Anfang 2012 hat das US-amerikanische Arzneimittelunternehmen Amgen </w:t>
      </w:r>
      <w:proofErr w:type="spellStart"/>
      <w:r w:rsidRPr="004F5A9B">
        <w:rPr>
          <w:rFonts w:ascii="Arial" w:hAnsi="Arial" w:cs="Arial"/>
          <w:sz w:val="22"/>
          <w:szCs w:val="22"/>
        </w:rPr>
        <w:t>Micromet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übernommen und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Ende 2014 als erste Substanz der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-Klasse zur Arzneimittelzulassung gebracht. Grundlage für die Erstzulassung bei erwachsenen Patienten mit fortgeschrittener akuter </w:t>
      </w:r>
      <w:proofErr w:type="spellStart"/>
      <w:r w:rsidRPr="004F5A9B">
        <w:rPr>
          <w:rFonts w:ascii="Arial" w:hAnsi="Arial" w:cs="Arial"/>
          <w:sz w:val="22"/>
          <w:szCs w:val="22"/>
        </w:rPr>
        <w:t>lymphoblastischer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B-Zell-Leukämie (B-ALL) und die folgenden Zulassungserweiterungen bei Erwachsenen und Kindern in späteren und früheren Stadien </w:t>
      </w:r>
      <w:bookmarkStart w:id="0" w:name="_GoBack"/>
      <w:r w:rsidRPr="004F5A9B">
        <w:rPr>
          <w:rFonts w:ascii="Arial" w:hAnsi="Arial" w:cs="Arial"/>
          <w:sz w:val="22"/>
          <w:szCs w:val="22"/>
        </w:rPr>
        <w:t xml:space="preserve">der B-ALL waren mehrere klinische Studien, die alle gezeigt haben, dass sich die </w:t>
      </w:r>
      <w:bookmarkEnd w:id="0"/>
      <w:r w:rsidRPr="004F5A9B">
        <w:rPr>
          <w:rFonts w:ascii="Arial" w:hAnsi="Arial" w:cs="Arial"/>
          <w:sz w:val="22"/>
          <w:szCs w:val="22"/>
        </w:rPr>
        <w:t xml:space="preserve">exzeptionelle anti-Tumoraktivität von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, wie sie im Labor beobachtet wurde, tatsächlich in eine sehr potente Wirksamkeit bei Leukämiepatienten übersetzen lässt.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ist mittlerweile in vielen Ländern zugelassen und hilft Leukämiepatienten weltweit.</w:t>
      </w:r>
    </w:p>
    <w:p w:rsidR="004F5A9B" w:rsidRPr="004F5A9B" w:rsidRDefault="004F5A9B" w:rsidP="004F5A9B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4F5A9B">
        <w:rPr>
          <w:rFonts w:ascii="Arial" w:hAnsi="Arial" w:cs="Arial"/>
          <w:sz w:val="22"/>
          <w:szCs w:val="22"/>
        </w:rPr>
        <w:t xml:space="preserve">Besonders eindrucksvoll ist die außerordentliche Potenz des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-Wirkprinzips, nach der erfolgreichen Erst- bzw. Induktions-Behandlung einer Krebserkrankung die Saat des Krebsrückfalls zu vernichten. Leider kommt es häufig vor, dass wenige Tumorzellen trotz </w:t>
      </w:r>
      <w:r w:rsidRPr="004F5A9B">
        <w:rPr>
          <w:rFonts w:ascii="Arial" w:hAnsi="Arial" w:cs="Arial"/>
          <w:sz w:val="22"/>
          <w:szCs w:val="22"/>
        </w:rPr>
        <w:lastRenderedPageBreak/>
        <w:t>erfolgreicher Krebsbehandlung unsichtbar im Körper verbleiben und dann später wieder wachsen und so einen Krebsrückfall (= Rezidiv) verursachen. Und es sind meistens die Rückfälle, die Krebs zu einer tödlichen Erkrankung machen. Deshalb ist es so wichtig, durch eine sog. Konsolidierungstherapie die Saat des Krebsrückfalls zu vernichten</w:t>
      </w:r>
      <w:r>
        <w:rPr>
          <w:rFonts w:ascii="Arial" w:hAnsi="Arial" w:cs="Arial"/>
          <w:sz w:val="22"/>
          <w:szCs w:val="22"/>
        </w:rPr>
        <w:t>,</w:t>
      </w:r>
      <w:r w:rsidRPr="004F5A9B">
        <w:rPr>
          <w:rFonts w:ascii="Arial" w:hAnsi="Arial" w:cs="Arial"/>
          <w:sz w:val="22"/>
          <w:szCs w:val="22"/>
        </w:rPr>
        <w:t xml:space="preserve"> bevor sie Gelegenheit hat</w:t>
      </w:r>
      <w:r>
        <w:rPr>
          <w:rFonts w:ascii="Arial" w:hAnsi="Arial" w:cs="Arial"/>
          <w:sz w:val="22"/>
          <w:szCs w:val="22"/>
        </w:rPr>
        <w:t>,</w:t>
      </w:r>
      <w:r w:rsidRPr="004F5A9B">
        <w:rPr>
          <w:rFonts w:ascii="Arial" w:hAnsi="Arial" w:cs="Arial"/>
          <w:sz w:val="22"/>
          <w:szCs w:val="22"/>
        </w:rPr>
        <w:t xml:space="preserve"> wieder zu wachsen. Darauf beruht auch die jüngste Zulassungserweiterung von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für Kinder mit einem Hochrisiko-Erstrezidiv ihrer Leukämieerkrankung: Wurde die Wirksamkeit der Induktionschemotherapie mit nur zwei weiteren Zyklen Chemotherapie</w:t>
      </w:r>
      <w:r>
        <w:rPr>
          <w:rFonts w:ascii="Arial" w:hAnsi="Arial" w:cs="Arial"/>
          <w:sz w:val="22"/>
          <w:szCs w:val="22"/>
        </w:rPr>
        <w:t>,</w:t>
      </w:r>
      <w:r w:rsidRPr="004F5A9B">
        <w:rPr>
          <w:rFonts w:ascii="Arial" w:hAnsi="Arial" w:cs="Arial"/>
          <w:sz w:val="22"/>
          <w:szCs w:val="22"/>
        </w:rPr>
        <w:t xml:space="preserve"> gefolgt von einem Zyklus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F5A9B">
        <w:rPr>
          <w:rFonts w:ascii="Arial" w:hAnsi="Arial" w:cs="Arial"/>
          <w:sz w:val="22"/>
          <w:szCs w:val="22"/>
        </w:rPr>
        <w:t xml:space="preserve"> konsolidiert, verbesserte dies im Vergleich zu drei konsolidierenden </w:t>
      </w:r>
      <w:proofErr w:type="spellStart"/>
      <w:r w:rsidRPr="004F5A9B">
        <w:rPr>
          <w:rFonts w:ascii="Arial" w:hAnsi="Arial" w:cs="Arial"/>
          <w:sz w:val="22"/>
          <w:szCs w:val="22"/>
        </w:rPr>
        <w:t>Chemotherapiezyklen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ohne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das leukämiefreie 2-Jahres-Überleben um mehr als das Doppelte von 27,1% auf 66,2%.</w:t>
      </w:r>
    </w:p>
    <w:p w:rsidR="004F5A9B" w:rsidRPr="004F5A9B" w:rsidRDefault="004F5A9B" w:rsidP="004F5A9B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4F5A9B">
        <w:rPr>
          <w:rFonts w:ascii="Arial" w:hAnsi="Arial" w:cs="Arial"/>
          <w:sz w:val="22"/>
          <w:szCs w:val="22"/>
        </w:rPr>
        <w:t xml:space="preserve">Sehr ermutigend sind auch Ergebnisse klinischer Studien mit verschiedenen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 xml:space="preserve">-Molekülen, die mit ihrem jeweiligen Krebsbindungsarm nicht wie </w:t>
      </w:r>
      <w:proofErr w:type="spellStart"/>
      <w:r w:rsidRPr="004F5A9B">
        <w:rPr>
          <w:rFonts w:ascii="Arial" w:hAnsi="Arial" w:cs="Arial"/>
          <w:sz w:val="22"/>
          <w:szCs w:val="22"/>
        </w:rPr>
        <w:t>Blinatumomab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 an CD19 auf Leukämiezellen andocken, sondern an geeignete Strukturen (z.B. DLL3 oder </w:t>
      </w:r>
      <w:proofErr w:type="spellStart"/>
      <w:r w:rsidRPr="004F5A9B">
        <w:rPr>
          <w:rFonts w:ascii="Arial" w:hAnsi="Arial" w:cs="Arial"/>
          <w:sz w:val="22"/>
          <w:szCs w:val="22"/>
        </w:rPr>
        <w:t>PSMA</w:t>
      </w:r>
      <w:proofErr w:type="spellEnd"/>
      <w:r w:rsidRPr="004F5A9B">
        <w:rPr>
          <w:rFonts w:ascii="Arial" w:hAnsi="Arial" w:cs="Arial"/>
          <w:sz w:val="22"/>
          <w:szCs w:val="22"/>
        </w:rPr>
        <w:t xml:space="preserve">) auf der Oberfläche von Krebszellen bei sogenannten soliden Tumoren wie Lungen- oder Prostatakrebs. Diese klinischen Ergebnisse aus jüngerer Zeit bestätigen, dass das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>-Prinzip nicht nur bei hämatologischen Krebserkrankungen, wie der Leukämie, sondern auch bei verschiedenen soliden Tumoren im fortgeschrittenen Stadium als Monotherapie potent wirksam ist.</w:t>
      </w:r>
    </w:p>
    <w:p w:rsidR="004F5A9B" w:rsidRPr="004F5A9B" w:rsidRDefault="004F5A9B" w:rsidP="004F5A9B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4F5A9B">
        <w:rPr>
          <w:rFonts w:ascii="Arial" w:hAnsi="Arial" w:cs="Arial"/>
          <w:sz w:val="22"/>
          <w:szCs w:val="22"/>
        </w:rPr>
        <w:t xml:space="preserve">Um dem Ziel entscheidend näher zu kommen, dass möglichst niemand mehr an Krebs sterben muss, wird das </w:t>
      </w:r>
      <w:proofErr w:type="spellStart"/>
      <w:r w:rsidRPr="004F5A9B">
        <w:rPr>
          <w:rFonts w:ascii="Arial" w:hAnsi="Arial" w:cs="Arial"/>
          <w:sz w:val="22"/>
          <w:szCs w:val="22"/>
        </w:rPr>
        <w:t>BiTE</w:t>
      </w:r>
      <w:proofErr w:type="spellEnd"/>
      <w:r w:rsidRPr="004F5A9B">
        <w:rPr>
          <w:rFonts w:ascii="Arial" w:hAnsi="Arial" w:cs="Arial"/>
          <w:sz w:val="22"/>
          <w:szCs w:val="22"/>
          <w:vertAlign w:val="superscript"/>
        </w:rPr>
        <w:t>®</w:t>
      </w:r>
      <w:r w:rsidRPr="004F5A9B">
        <w:rPr>
          <w:rFonts w:ascii="Arial" w:hAnsi="Arial" w:cs="Arial"/>
          <w:sz w:val="22"/>
          <w:szCs w:val="22"/>
        </w:rPr>
        <w:t>-Wirkprinzip aber auch bei den soliden Tumoren konsequent dort zum Einsatz kommen müssen, wo es an kriegsentscheidender Stelle seine größte Stärke haben dürfte: Nämlich die Saat des meist tödlichen metastatischen Rückfalls der Krebserkrankung im Körper aufzuspüren und zu vernichten</w:t>
      </w:r>
      <w:r>
        <w:rPr>
          <w:rFonts w:ascii="Arial" w:hAnsi="Arial" w:cs="Arial"/>
          <w:sz w:val="22"/>
          <w:szCs w:val="22"/>
        </w:rPr>
        <w:t>,</w:t>
      </w:r>
      <w:r w:rsidRPr="004F5A9B">
        <w:rPr>
          <w:rFonts w:ascii="Arial" w:hAnsi="Arial" w:cs="Arial"/>
          <w:sz w:val="22"/>
          <w:szCs w:val="22"/>
        </w:rPr>
        <w:t xml:space="preserve"> bevor aus dieser Saat Metastasen wachsen, d.h. die Metastasen mit Heilungsabsicht zu verhindern, statt sie später ohne echte Heilungschance zu behandeln.</w:t>
      </w:r>
    </w:p>
    <w:p w:rsidR="00377F21" w:rsidRPr="00492FEF" w:rsidRDefault="00377F21" w:rsidP="00D629F7">
      <w:pPr>
        <w:pStyle w:val="StandardWeb"/>
        <w:spacing w:before="240" w:beforeAutospacing="0" w:after="240" w:afterAutospacing="0"/>
        <w:rPr>
          <w:rFonts w:ascii="Arial" w:hAnsi="Arial" w:cs="Arial"/>
        </w:rPr>
      </w:pPr>
      <w:r w:rsidRPr="00492FEF">
        <w:rPr>
          <w:rFonts w:ascii="Arial" w:hAnsi="Arial" w:cs="Arial"/>
          <w:iCs/>
          <w:color w:val="000000"/>
          <w:sz w:val="18"/>
          <w:szCs w:val="18"/>
        </w:rPr>
        <w:t xml:space="preserve">*Aus Gründen der besseren Lesbarkeit wurde im Text </w:t>
      </w:r>
      <w:r w:rsidR="004D75D6">
        <w:rPr>
          <w:rFonts w:ascii="Arial" w:hAnsi="Arial" w:cs="Arial"/>
          <w:iCs/>
          <w:color w:val="000000"/>
          <w:sz w:val="18"/>
          <w:szCs w:val="18"/>
        </w:rPr>
        <w:t xml:space="preserve">fallweise </w:t>
      </w:r>
      <w:r w:rsidRPr="00492FEF">
        <w:rPr>
          <w:rFonts w:ascii="Arial" w:hAnsi="Arial" w:cs="Arial"/>
          <w:iCs/>
          <w:color w:val="000000"/>
          <w:sz w:val="18"/>
          <w:szCs w:val="18"/>
        </w:rPr>
        <w:t>auf eine gendergerechte Schreibweise verzichtet. Alle Bezeichnungen gelten für alle Geschlechter</w:t>
      </w:r>
      <w:r w:rsidRPr="00492FEF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F34C7" w:rsidRPr="00492FEF" w:rsidRDefault="00DF34C7" w:rsidP="00DF34C7">
      <w:pPr>
        <w:spacing w:after="120" w:line="312" w:lineRule="auto"/>
        <w:rPr>
          <w:rFonts w:ascii="Arial" w:hAnsi="Arial" w:cs="Arial"/>
          <w:iCs/>
          <w:lang w:val="de-DE"/>
        </w:rPr>
      </w:pPr>
      <w:r w:rsidRPr="00492FEF">
        <w:rPr>
          <w:rFonts w:ascii="Arial" w:hAnsi="Arial" w:cs="Arial"/>
          <w:iCs/>
          <w:lang w:val="de-DE"/>
        </w:rPr>
        <w:t xml:space="preserve"> </w:t>
      </w:r>
    </w:p>
    <w:p w:rsidR="00DF34C7" w:rsidRPr="00492FEF" w:rsidRDefault="00DF34C7" w:rsidP="00D629F7">
      <w:pPr>
        <w:rPr>
          <w:rFonts w:ascii="Arial" w:hAnsi="Arial" w:cs="Arial"/>
        </w:rPr>
      </w:pPr>
    </w:p>
    <w:sectPr w:rsidR="00DF34C7" w:rsidRPr="00492FEF" w:rsidSect="00B92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85" w:rsidRDefault="00E10985" w:rsidP="00A86A5F">
      <w:pPr>
        <w:spacing w:after="0" w:line="240" w:lineRule="auto"/>
      </w:pPr>
      <w:r>
        <w:separator/>
      </w:r>
    </w:p>
  </w:endnote>
  <w:endnote w:type="continuationSeparator" w:id="0">
    <w:p w:rsidR="00E10985" w:rsidRDefault="00E10985" w:rsidP="00A8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5C" w:rsidRDefault="00CF7A5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F" w:rsidRPr="00124104" w:rsidRDefault="0052149B" w:rsidP="00A86A5F">
    <w:pPr>
      <w:pStyle w:val="Fuzeile"/>
      <w:framePr w:wrap="around" w:vAnchor="text" w:hAnchor="page" w:x="10651" w:y="337"/>
      <w:rPr>
        <w:rStyle w:val="Seitenzahl"/>
        <w:rFonts w:ascii="Arial" w:hAnsi="Arial" w:cs="Arial"/>
        <w:sz w:val="18"/>
        <w:szCs w:val="18"/>
      </w:rPr>
    </w:pPr>
    <w:r w:rsidRPr="00124104">
      <w:rPr>
        <w:rStyle w:val="Seitenzahl"/>
        <w:rFonts w:ascii="Arial" w:hAnsi="Arial" w:cs="Arial"/>
        <w:sz w:val="18"/>
        <w:szCs w:val="18"/>
      </w:rPr>
      <w:fldChar w:fldCharType="begin"/>
    </w:r>
    <w:r w:rsidR="00A86A5F" w:rsidRPr="00124104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124104">
      <w:rPr>
        <w:rStyle w:val="Seitenzahl"/>
        <w:rFonts w:ascii="Arial" w:hAnsi="Arial" w:cs="Arial"/>
        <w:sz w:val="18"/>
        <w:szCs w:val="18"/>
      </w:rPr>
      <w:fldChar w:fldCharType="separate"/>
    </w:r>
    <w:r w:rsidR="00911AF5">
      <w:rPr>
        <w:rStyle w:val="Seitenzahl"/>
        <w:rFonts w:ascii="Arial" w:hAnsi="Arial" w:cs="Arial"/>
        <w:noProof/>
        <w:sz w:val="18"/>
        <w:szCs w:val="18"/>
      </w:rPr>
      <w:t>2</w:t>
    </w:r>
    <w:r w:rsidRPr="00124104">
      <w:rPr>
        <w:rStyle w:val="Seitenzahl"/>
        <w:rFonts w:ascii="Arial" w:hAnsi="Arial" w:cs="Arial"/>
        <w:sz w:val="18"/>
        <w:szCs w:val="18"/>
      </w:rPr>
      <w:fldChar w:fldCharType="end"/>
    </w:r>
  </w:p>
  <w:p w:rsidR="00CF7A5C" w:rsidRDefault="00CF7A5C" w:rsidP="0021220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808080"/>
        <w:sz w:val="18"/>
        <w:szCs w:val="18"/>
        <w:lang w:val="de-DE"/>
      </w:rPr>
    </w:pPr>
  </w:p>
  <w:p w:rsidR="00212208" w:rsidRPr="00CF7A5C" w:rsidRDefault="008B73E3" w:rsidP="00212208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color w:val="808080"/>
        <w:sz w:val="16"/>
        <w:szCs w:val="18"/>
        <w:lang w:val="de-DE"/>
      </w:rPr>
    </w:pPr>
    <w:r w:rsidRPr="00CF7A5C">
      <w:rPr>
        <w:rFonts w:ascii="Arial" w:hAnsi="Arial" w:cs="Arial"/>
        <w:color w:val="808080"/>
        <w:sz w:val="16"/>
        <w:szCs w:val="18"/>
        <w:lang w:val="de-DE"/>
      </w:rPr>
      <w:t>Amgen</w:t>
    </w:r>
    <w:r w:rsidR="00E1791C" w:rsidRPr="00CF7A5C">
      <w:rPr>
        <w:rFonts w:ascii="Arial" w:hAnsi="Arial" w:cs="Arial"/>
        <w:color w:val="808080"/>
        <w:sz w:val="16"/>
        <w:szCs w:val="18"/>
        <w:lang w:val="de-DE"/>
      </w:rPr>
      <w:t xml:space="preserve"> Press Academy </w:t>
    </w:r>
    <w:r w:rsidR="00E1791C" w:rsidRPr="00CF7A5C">
      <w:rPr>
        <w:rFonts w:ascii="Arial" w:hAnsi="Arial" w:cs="Arial"/>
        <w:i/>
        <w:color w:val="808080"/>
        <w:sz w:val="16"/>
        <w:szCs w:val="18"/>
        <w:lang w:val="de-DE"/>
      </w:rPr>
      <w:t>„Ein Blick in den Werkzeugkasten gegen Krebs“</w:t>
    </w:r>
    <w:r w:rsidR="00CF7A5C" w:rsidRPr="00CF7A5C">
      <w:rPr>
        <w:rFonts w:ascii="Arial" w:hAnsi="Arial" w:cs="Arial"/>
        <w:i/>
        <w:color w:val="808080"/>
        <w:sz w:val="16"/>
        <w:szCs w:val="18"/>
        <w:lang w:val="de-DE"/>
      </w:rPr>
      <w:t xml:space="preserve"> am </w:t>
    </w:r>
    <w:r w:rsidR="00212208" w:rsidRPr="00CF7A5C">
      <w:rPr>
        <w:rFonts w:ascii="Arial" w:hAnsi="Arial" w:cs="Arial"/>
        <w:color w:val="808080"/>
        <w:sz w:val="16"/>
        <w:szCs w:val="18"/>
        <w:lang w:val="de-DE"/>
      </w:rPr>
      <w:t>14. Oktober 2021</w:t>
    </w:r>
  </w:p>
  <w:p w:rsidR="00CF7A5C" w:rsidRPr="00CF7A5C" w:rsidRDefault="00CF7A5C" w:rsidP="00CF7A5C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808080"/>
        <w:sz w:val="16"/>
        <w:szCs w:val="18"/>
        <w:lang w:val="de-DE"/>
      </w:rPr>
    </w:pPr>
    <w:r w:rsidRPr="00CF7A5C">
      <w:rPr>
        <w:rFonts w:ascii="Arial" w:hAnsi="Arial" w:cs="Arial"/>
        <w:color w:val="808080"/>
        <w:sz w:val="16"/>
        <w:szCs w:val="18"/>
        <w:lang w:val="de-DE"/>
      </w:rPr>
      <w:t>AT-NPS-1021-00003</w:t>
    </w:r>
  </w:p>
  <w:p w:rsidR="007F0E18" w:rsidRPr="00E1791C" w:rsidRDefault="00A3792D" w:rsidP="00E1791C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808080"/>
        <w:sz w:val="18"/>
        <w:szCs w:val="18"/>
        <w:lang w:val="de-DE"/>
      </w:rPr>
    </w:pPr>
    <w:r>
      <w:rPr>
        <w:rFonts w:ascii="Arial" w:hAnsi="Arial" w:cs="Arial"/>
        <w:i/>
        <w:color w:val="808080"/>
        <w:sz w:val="18"/>
        <w:szCs w:val="18"/>
        <w:lang w:val="de-DE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5C" w:rsidRDefault="00CF7A5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85" w:rsidRDefault="00E10985" w:rsidP="00A86A5F">
      <w:pPr>
        <w:spacing w:after="0" w:line="240" w:lineRule="auto"/>
      </w:pPr>
      <w:r>
        <w:separator/>
      </w:r>
    </w:p>
  </w:footnote>
  <w:footnote w:type="continuationSeparator" w:id="0">
    <w:p w:rsidR="00E10985" w:rsidRDefault="00E10985" w:rsidP="00A8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5C" w:rsidRDefault="00CF7A5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F" w:rsidRPr="00F66BC0" w:rsidRDefault="00A86A5F" w:rsidP="00A86A5F">
    <w:pPr>
      <w:pStyle w:val="Kopfzeile"/>
      <w:spacing w:after="360"/>
      <w:rPr>
        <w:sz w:val="36"/>
      </w:rPr>
    </w:pPr>
    <w:r w:rsidRPr="00F66BC0">
      <w:rPr>
        <w:sz w:val="36"/>
      </w:rPr>
      <w:t>AMGEN.Press.Academy</w:t>
    </w:r>
    <w:r>
      <w:rPr>
        <w:sz w:val="36"/>
      </w:rPr>
      <w:t>.</w:t>
    </w:r>
  </w:p>
  <w:p w:rsidR="00A86A5F" w:rsidRPr="005A5280" w:rsidRDefault="00A86A5F" w:rsidP="00A86A5F">
    <w:pPr>
      <w:pStyle w:val="Kopfzeile"/>
    </w:pPr>
  </w:p>
  <w:p w:rsidR="00A86A5F" w:rsidRPr="00A86A5F" w:rsidRDefault="00A86A5F" w:rsidP="00A86A5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5C" w:rsidRDefault="00CF7A5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FA9"/>
    <w:multiLevelType w:val="multilevel"/>
    <w:tmpl w:val="A49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405EB"/>
    <w:multiLevelType w:val="hybridMultilevel"/>
    <w:tmpl w:val="6A7C8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037A3"/>
    <w:multiLevelType w:val="hybridMultilevel"/>
    <w:tmpl w:val="45347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7070"/>
    <w:multiLevelType w:val="multilevel"/>
    <w:tmpl w:val="72C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836CE"/>
    <w:multiLevelType w:val="multilevel"/>
    <w:tmpl w:val="54B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Urban">
    <w15:presenceInfo w15:providerId="Windows Live" w15:userId="b1d4ab4fa7ecf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625"/>
    <w:rsid w:val="00012559"/>
    <w:rsid w:val="00013514"/>
    <w:rsid w:val="00014194"/>
    <w:rsid w:val="000164C8"/>
    <w:rsid w:val="000210C5"/>
    <w:rsid w:val="0002403F"/>
    <w:rsid w:val="00025EDC"/>
    <w:rsid w:val="00025F86"/>
    <w:rsid w:val="00030834"/>
    <w:rsid w:val="00036846"/>
    <w:rsid w:val="00040C76"/>
    <w:rsid w:val="000412C9"/>
    <w:rsid w:val="000478EA"/>
    <w:rsid w:val="000567EE"/>
    <w:rsid w:val="000577BD"/>
    <w:rsid w:val="0006014F"/>
    <w:rsid w:val="00067494"/>
    <w:rsid w:val="000716FC"/>
    <w:rsid w:val="00073F3D"/>
    <w:rsid w:val="00074628"/>
    <w:rsid w:val="000B6E44"/>
    <w:rsid w:val="000D1E65"/>
    <w:rsid w:val="000D26F7"/>
    <w:rsid w:val="000D3208"/>
    <w:rsid w:val="000E294C"/>
    <w:rsid w:val="000F46E5"/>
    <w:rsid w:val="00104B35"/>
    <w:rsid w:val="0010501C"/>
    <w:rsid w:val="00111DD5"/>
    <w:rsid w:val="00117FBE"/>
    <w:rsid w:val="00124104"/>
    <w:rsid w:val="00127D31"/>
    <w:rsid w:val="00135B27"/>
    <w:rsid w:val="00154882"/>
    <w:rsid w:val="001608E0"/>
    <w:rsid w:val="0017648A"/>
    <w:rsid w:val="00177B5B"/>
    <w:rsid w:val="00183E81"/>
    <w:rsid w:val="001A35E4"/>
    <w:rsid w:val="001A60C0"/>
    <w:rsid w:val="001A635B"/>
    <w:rsid w:val="001A68EC"/>
    <w:rsid w:val="001B2431"/>
    <w:rsid w:val="001C3F96"/>
    <w:rsid w:val="001C7A23"/>
    <w:rsid w:val="001D1C24"/>
    <w:rsid w:val="001D5A72"/>
    <w:rsid w:val="001E4F50"/>
    <w:rsid w:val="001E6C3E"/>
    <w:rsid w:val="001F37A0"/>
    <w:rsid w:val="001F5ED6"/>
    <w:rsid w:val="00204FAF"/>
    <w:rsid w:val="00206CDC"/>
    <w:rsid w:val="00212208"/>
    <w:rsid w:val="00213FF7"/>
    <w:rsid w:val="00222333"/>
    <w:rsid w:val="00222B45"/>
    <w:rsid w:val="00226006"/>
    <w:rsid w:val="00231FA3"/>
    <w:rsid w:val="002324CB"/>
    <w:rsid w:val="002326F5"/>
    <w:rsid w:val="00234089"/>
    <w:rsid w:val="002366E6"/>
    <w:rsid w:val="00242C32"/>
    <w:rsid w:val="00242DF5"/>
    <w:rsid w:val="00243FCB"/>
    <w:rsid w:val="00245E57"/>
    <w:rsid w:val="00246349"/>
    <w:rsid w:val="00255F02"/>
    <w:rsid w:val="00260CB8"/>
    <w:rsid w:val="00263534"/>
    <w:rsid w:val="00273FA9"/>
    <w:rsid w:val="00275B75"/>
    <w:rsid w:val="00276140"/>
    <w:rsid w:val="00277EDC"/>
    <w:rsid w:val="0029564A"/>
    <w:rsid w:val="00295E70"/>
    <w:rsid w:val="002A246F"/>
    <w:rsid w:val="002A4F51"/>
    <w:rsid w:val="002A5C74"/>
    <w:rsid w:val="002A6F03"/>
    <w:rsid w:val="002E267D"/>
    <w:rsid w:val="002F0309"/>
    <w:rsid w:val="002F63ED"/>
    <w:rsid w:val="002F73FE"/>
    <w:rsid w:val="002F78AE"/>
    <w:rsid w:val="0030362D"/>
    <w:rsid w:val="0031678B"/>
    <w:rsid w:val="003176EB"/>
    <w:rsid w:val="00325767"/>
    <w:rsid w:val="00326654"/>
    <w:rsid w:val="00333A22"/>
    <w:rsid w:val="00340BDB"/>
    <w:rsid w:val="003465F6"/>
    <w:rsid w:val="00353DFA"/>
    <w:rsid w:val="00360661"/>
    <w:rsid w:val="0036647D"/>
    <w:rsid w:val="00372F63"/>
    <w:rsid w:val="00377F21"/>
    <w:rsid w:val="003901A0"/>
    <w:rsid w:val="00391DDD"/>
    <w:rsid w:val="0039297A"/>
    <w:rsid w:val="00397C24"/>
    <w:rsid w:val="003B1CAA"/>
    <w:rsid w:val="003C0AFD"/>
    <w:rsid w:val="003C4E6E"/>
    <w:rsid w:val="003D0D3F"/>
    <w:rsid w:val="003E4E7D"/>
    <w:rsid w:val="003E70D2"/>
    <w:rsid w:val="003F3BEC"/>
    <w:rsid w:val="003F4DE2"/>
    <w:rsid w:val="00401036"/>
    <w:rsid w:val="004035ED"/>
    <w:rsid w:val="004037C2"/>
    <w:rsid w:val="0041388B"/>
    <w:rsid w:val="00415C18"/>
    <w:rsid w:val="0041632E"/>
    <w:rsid w:val="0042092E"/>
    <w:rsid w:val="00426232"/>
    <w:rsid w:val="00434C19"/>
    <w:rsid w:val="0043504D"/>
    <w:rsid w:val="0044177C"/>
    <w:rsid w:val="004502DE"/>
    <w:rsid w:val="0045081F"/>
    <w:rsid w:val="0045318F"/>
    <w:rsid w:val="00460032"/>
    <w:rsid w:val="00461244"/>
    <w:rsid w:val="00467290"/>
    <w:rsid w:val="00482FDF"/>
    <w:rsid w:val="00487EBE"/>
    <w:rsid w:val="00492FEF"/>
    <w:rsid w:val="00493062"/>
    <w:rsid w:val="00493472"/>
    <w:rsid w:val="004955EA"/>
    <w:rsid w:val="004A4078"/>
    <w:rsid w:val="004A6CD5"/>
    <w:rsid w:val="004C5AF4"/>
    <w:rsid w:val="004D44D7"/>
    <w:rsid w:val="004D4F3A"/>
    <w:rsid w:val="004D75D6"/>
    <w:rsid w:val="004E598A"/>
    <w:rsid w:val="004E7461"/>
    <w:rsid w:val="004F1CC4"/>
    <w:rsid w:val="004F248C"/>
    <w:rsid w:val="004F59F7"/>
    <w:rsid w:val="004F5A9B"/>
    <w:rsid w:val="004F5DAC"/>
    <w:rsid w:val="004F6A48"/>
    <w:rsid w:val="00502666"/>
    <w:rsid w:val="00505F08"/>
    <w:rsid w:val="005120E7"/>
    <w:rsid w:val="00512850"/>
    <w:rsid w:val="00520F8D"/>
    <w:rsid w:val="00521192"/>
    <w:rsid w:val="0052149B"/>
    <w:rsid w:val="005347D8"/>
    <w:rsid w:val="00535571"/>
    <w:rsid w:val="005447C1"/>
    <w:rsid w:val="00546567"/>
    <w:rsid w:val="00546B31"/>
    <w:rsid w:val="00552D1D"/>
    <w:rsid w:val="00564EAC"/>
    <w:rsid w:val="00566919"/>
    <w:rsid w:val="0057237C"/>
    <w:rsid w:val="00583299"/>
    <w:rsid w:val="005947F3"/>
    <w:rsid w:val="00595212"/>
    <w:rsid w:val="005A191E"/>
    <w:rsid w:val="005B574E"/>
    <w:rsid w:val="005B728F"/>
    <w:rsid w:val="005C0370"/>
    <w:rsid w:val="005C24D6"/>
    <w:rsid w:val="005D72C8"/>
    <w:rsid w:val="005F2FA4"/>
    <w:rsid w:val="005F5D3D"/>
    <w:rsid w:val="0060279C"/>
    <w:rsid w:val="00602E39"/>
    <w:rsid w:val="00617F9A"/>
    <w:rsid w:val="00622865"/>
    <w:rsid w:val="00645D20"/>
    <w:rsid w:val="00661A9C"/>
    <w:rsid w:val="00662E40"/>
    <w:rsid w:val="00663848"/>
    <w:rsid w:val="00674A0D"/>
    <w:rsid w:val="00676901"/>
    <w:rsid w:val="00681ED8"/>
    <w:rsid w:val="00684C73"/>
    <w:rsid w:val="00693546"/>
    <w:rsid w:val="0069449E"/>
    <w:rsid w:val="006979B5"/>
    <w:rsid w:val="006A7BA2"/>
    <w:rsid w:val="006B13C6"/>
    <w:rsid w:val="006B14EA"/>
    <w:rsid w:val="006B17F4"/>
    <w:rsid w:val="006B2A35"/>
    <w:rsid w:val="006C25A9"/>
    <w:rsid w:val="006D0059"/>
    <w:rsid w:val="006D1CFE"/>
    <w:rsid w:val="006D2DDF"/>
    <w:rsid w:val="006E1137"/>
    <w:rsid w:val="006F1553"/>
    <w:rsid w:val="006F7D46"/>
    <w:rsid w:val="007005B3"/>
    <w:rsid w:val="007022C7"/>
    <w:rsid w:val="00707C24"/>
    <w:rsid w:val="00714D9E"/>
    <w:rsid w:val="00723474"/>
    <w:rsid w:val="007349F8"/>
    <w:rsid w:val="00744A7E"/>
    <w:rsid w:val="007538DE"/>
    <w:rsid w:val="00757AA1"/>
    <w:rsid w:val="00764C1A"/>
    <w:rsid w:val="0076648D"/>
    <w:rsid w:val="00767D01"/>
    <w:rsid w:val="0077397A"/>
    <w:rsid w:val="00774E05"/>
    <w:rsid w:val="00786C76"/>
    <w:rsid w:val="0079223A"/>
    <w:rsid w:val="007956F1"/>
    <w:rsid w:val="00796129"/>
    <w:rsid w:val="007A29BF"/>
    <w:rsid w:val="007B4132"/>
    <w:rsid w:val="007C5123"/>
    <w:rsid w:val="007D2A5C"/>
    <w:rsid w:val="007F0E18"/>
    <w:rsid w:val="007F6DEC"/>
    <w:rsid w:val="007F72C6"/>
    <w:rsid w:val="007F79D1"/>
    <w:rsid w:val="0080219F"/>
    <w:rsid w:val="00803622"/>
    <w:rsid w:val="0080587F"/>
    <w:rsid w:val="00832DBC"/>
    <w:rsid w:val="00834E36"/>
    <w:rsid w:val="008359D0"/>
    <w:rsid w:val="0084796F"/>
    <w:rsid w:val="00853607"/>
    <w:rsid w:val="00862BD5"/>
    <w:rsid w:val="008642DA"/>
    <w:rsid w:val="008730EE"/>
    <w:rsid w:val="00877909"/>
    <w:rsid w:val="0088012F"/>
    <w:rsid w:val="00893625"/>
    <w:rsid w:val="0089754D"/>
    <w:rsid w:val="008A06C1"/>
    <w:rsid w:val="008A6765"/>
    <w:rsid w:val="008A6E25"/>
    <w:rsid w:val="008B73E3"/>
    <w:rsid w:val="008C3F19"/>
    <w:rsid w:val="008C5C9F"/>
    <w:rsid w:val="008D5446"/>
    <w:rsid w:val="008E2A5C"/>
    <w:rsid w:val="008E4D57"/>
    <w:rsid w:val="008F1D7D"/>
    <w:rsid w:val="008F3932"/>
    <w:rsid w:val="00905267"/>
    <w:rsid w:val="00911AF5"/>
    <w:rsid w:val="00915FCF"/>
    <w:rsid w:val="009242B3"/>
    <w:rsid w:val="00927D99"/>
    <w:rsid w:val="0093141C"/>
    <w:rsid w:val="00932E69"/>
    <w:rsid w:val="00935385"/>
    <w:rsid w:val="009467D7"/>
    <w:rsid w:val="00951B7C"/>
    <w:rsid w:val="00953215"/>
    <w:rsid w:val="009577B5"/>
    <w:rsid w:val="00961CBA"/>
    <w:rsid w:val="00962F43"/>
    <w:rsid w:val="0096625A"/>
    <w:rsid w:val="00967BC9"/>
    <w:rsid w:val="00970A55"/>
    <w:rsid w:val="009828D6"/>
    <w:rsid w:val="00994E61"/>
    <w:rsid w:val="00997598"/>
    <w:rsid w:val="009A0A18"/>
    <w:rsid w:val="009B384B"/>
    <w:rsid w:val="009B5D08"/>
    <w:rsid w:val="009B7C70"/>
    <w:rsid w:val="009D2194"/>
    <w:rsid w:val="009D3986"/>
    <w:rsid w:val="009D63E4"/>
    <w:rsid w:val="009F2BEC"/>
    <w:rsid w:val="00A119B0"/>
    <w:rsid w:val="00A11A8F"/>
    <w:rsid w:val="00A15873"/>
    <w:rsid w:val="00A27170"/>
    <w:rsid w:val="00A32063"/>
    <w:rsid w:val="00A361C3"/>
    <w:rsid w:val="00A37123"/>
    <w:rsid w:val="00A3792D"/>
    <w:rsid w:val="00A45B41"/>
    <w:rsid w:val="00A46FC7"/>
    <w:rsid w:val="00A55C9A"/>
    <w:rsid w:val="00A56642"/>
    <w:rsid w:val="00A60577"/>
    <w:rsid w:val="00A634C3"/>
    <w:rsid w:val="00A636BD"/>
    <w:rsid w:val="00A7399D"/>
    <w:rsid w:val="00A74A1A"/>
    <w:rsid w:val="00A86A5F"/>
    <w:rsid w:val="00A91C3F"/>
    <w:rsid w:val="00A94B29"/>
    <w:rsid w:val="00A956B6"/>
    <w:rsid w:val="00AB2AEE"/>
    <w:rsid w:val="00AB3BC6"/>
    <w:rsid w:val="00AC2069"/>
    <w:rsid w:val="00AC31FD"/>
    <w:rsid w:val="00AD07D6"/>
    <w:rsid w:val="00AD13E2"/>
    <w:rsid w:val="00AD24AD"/>
    <w:rsid w:val="00AD5551"/>
    <w:rsid w:val="00AE136D"/>
    <w:rsid w:val="00AE34D2"/>
    <w:rsid w:val="00AE50E5"/>
    <w:rsid w:val="00AE5BFA"/>
    <w:rsid w:val="00AF0CB7"/>
    <w:rsid w:val="00AF2154"/>
    <w:rsid w:val="00B174DE"/>
    <w:rsid w:val="00B2071F"/>
    <w:rsid w:val="00B22500"/>
    <w:rsid w:val="00B27398"/>
    <w:rsid w:val="00B30AB0"/>
    <w:rsid w:val="00B320B5"/>
    <w:rsid w:val="00B54700"/>
    <w:rsid w:val="00B5536D"/>
    <w:rsid w:val="00B604BE"/>
    <w:rsid w:val="00B6303F"/>
    <w:rsid w:val="00B65DD9"/>
    <w:rsid w:val="00B74A0D"/>
    <w:rsid w:val="00B75CD3"/>
    <w:rsid w:val="00B768A5"/>
    <w:rsid w:val="00B84946"/>
    <w:rsid w:val="00B86F4C"/>
    <w:rsid w:val="00B917D5"/>
    <w:rsid w:val="00B9225B"/>
    <w:rsid w:val="00B97E20"/>
    <w:rsid w:val="00BB0DF0"/>
    <w:rsid w:val="00BB6430"/>
    <w:rsid w:val="00BB66B7"/>
    <w:rsid w:val="00BC4E71"/>
    <w:rsid w:val="00BC6966"/>
    <w:rsid w:val="00BD1B7B"/>
    <w:rsid w:val="00BD2300"/>
    <w:rsid w:val="00BD3027"/>
    <w:rsid w:val="00BD4B96"/>
    <w:rsid w:val="00BD4D4C"/>
    <w:rsid w:val="00BE1C01"/>
    <w:rsid w:val="00BE44AC"/>
    <w:rsid w:val="00BE531A"/>
    <w:rsid w:val="00BF547A"/>
    <w:rsid w:val="00BF5B5D"/>
    <w:rsid w:val="00BF73A6"/>
    <w:rsid w:val="00C11827"/>
    <w:rsid w:val="00C122CD"/>
    <w:rsid w:val="00C3088F"/>
    <w:rsid w:val="00C31F1E"/>
    <w:rsid w:val="00C54653"/>
    <w:rsid w:val="00C57CB1"/>
    <w:rsid w:val="00C66792"/>
    <w:rsid w:val="00C818D1"/>
    <w:rsid w:val="00C8197A"/>
    <w:rsid w:val="00C85DBC"/>
    <w:rsid w:val="00C9464B"/>
    <w:rsid w:val="00C95B0D"/>
    <w:rsid w:val="00C97589"/>
    <w:rsid w:val="00CA58C2"/>
    <w:rsid w:val="00CB0BC0"/>
    <w:rsid w:val="00CC0E08"/>
    <w:rsid w:val="00CC70A4"/>
    <w:rsid w:val="00CD1B19"/>
    <w:rsid w:val="00CD1BEC"/>
    <w:rsid w:val="00CD4651"/>
    <w:rsid w:val="00CD7CFC"/>
    <w:rsid w:val="00CE725D"/>
    <w:rsid w:val="00CF3324"/>
    <w:rsid w:val="00CF7A5C"/>
    <w:rsid w:val="00D02250"/>
    <w:rsid w:val="00D05BB0"/>
    <w:rsid w:val="00D10C01"/>
    <w:rsid w:val="00D13761"/>
    <w:rsid w:val="00D15751"/>
    <w:rsid w:val="00D22C9B"/>
    <w:rsid w:val="00D2311C"/>
    <w:rsid w:val="00D257E4"/>
    <w:rsid w:val="00D4588B"/>
    <w:rsid w:val="00D51721"/>
    <w:rsid w:val="00D60ECD"/>
    <w:rsid w:val="00D629F7"/>
    <w:rsid w:val="00D64B45"/>
    <w:rsid w:val="00D67FDF"/>
    <w:rsid w:val="00D7218B"/>
    <w:rsid w:val="00D771B6"/>
    <w:rsid w:val="00D8071F"/>
    <w:rsid w:val="00D85C56"/>
    <w:rsid w:val="00D86BA5"/>
    <w:rsid w:val="00D95D74"/>
    <w:rsid w:val="00D97246"/>
    <w:rsid w:val="00DA4759"/>
    <w:rsid w:val="00DA4A6A"/>
    <w:rsid w:val="00DB2E16"/>
    <w:rsid w:val="00DC3F53"/>
    <w:rsid w:val="00DD0DBC"/>
    <w:rsid w:val="00DD3589"/>
    <w:rsid w:val="00DE6195"/>
    <w:rsid w:val="00DF34C7"/>
    <w:rsid w:val="00E01E4C"/>
    <w:rsid w:val="00E02792"/>
    <w:rsid w:val="00E10985"/>
    <w:rsid w:val="00E132E2"/>
    <w:rsid w:val="00E1791C"/>
    <w:rsid w:val="00E234B9"/>
    <w:rsid w:val="00E333D0"/>
    <w:rsid w:val="00E4351B"/>
    <w:rsid w:val="00E44230"/>
    <w:rsid w:val="00E5327B"/>
    <w:rsid w:val="00E561B2"/>
    <w:rsid w:val="00E66FA6"/>
    <w:rsid w:val="00E71D9A"/>
    <w:rsid w:val="00E7784A"/>
    <w:rsid w:val="00E82F77"/>
    <w:rsid w:val="00E857E9"/>
    <w:rsid w:val="00E864D9"/>
    <w:rsid w:val="00E92471"/>
    <w:rsid w:val="00E95000"/>
    <w:rsid w:val="00EA79C9"/>
    <w:rsid w:val="00EB007F"/>
    <w:rsid w:val="00EB17B2"/>
    <w:rsid w:val="00EE31FE"/>
    <w:rsid w:val="00EF469B"/>
    <w:rsid w:val="00F018CF"/>
    <w:rsid w:val="00F12B59"/>
    <w:rsid w:val="00F130D5"/>
    <w:rsid w:val="00F17BEA"/>
    <w:rsid w:val="00F24022"/>
    <w:rsid w:val="00F2639D"/>
    <w:rsid w:val="00F31894"/>
    <w:rsid w:val="00F3501B"/>
    <w:rsid w:val="00F35407"/>
    <w:rsid w:val="00F52B64"/>
    <w:rsid w:val="00F55B98"/>
    <w:rsid w:val="00F55BB3"/>
    <w:rsid w:val="00F56E0B"/>
    <w:rsid w:val="00F62C37"/>
    <w:rsid w:val="00F6357B"/>
    <w:rsid w:val="00F71D08"/>
    <w:rsid w:val="00F73A97"/>
    <w:rsid w:val="00F73D88"/>
    <w:rsid w:val="00F750E3"/>
    <w:rsid w:val="00F852BE"/>
    <w:rsid w:val="00F85DD4"/>
    <w:rsid w:val="00F86E47"/>
    <w:rsid w:val="00F95070"/>
    <w:rsid w:val="00F97AFC"/>
    <w:rsid w:val="00FA557A"/>
    <w:rsid w:val="00FA62DE"/>
    <w:rsid w:val="00FA7742"/>
    <w:rsid w:val="00FA78DA"/>
    <w:rsid w:val="00FB00A1"/>
    <w:rsid w:val="00FB4965"/>
    <w:rsid w:val="00FD58AD"/>
    <w:rsid w:val="00FE757E"/>
    <w:rsid w:val="00FF4B79"/>
    <w:rsid w:val="00FF70FB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88B"/>
  </w:style>
  <w:style w:type="paragraph" w:styleId="berschrift1">
    <w:name w:val="heading 1"/>
    <w:basedOn w:val="Standard"/>
    <w:link w:val="berschrift1Zchn"/>
    <w:qFormat/>
    <w:rsid w:val="00D10C0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3"/>
      <w:szCs w:val="2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03622"/>
    <w:rPr>
      <w:color w:val="0000FF"/>
      <w:u w:val="single"/>
    </w:rPr>
  </w:style>
  <w:style w:type="character" w:customStyle="1" w:styleId="normallink">
    <w:name w:val="normallink"/>
    <w:basedOn w:val="Absatz-Standardschriftart"/>
    <w:rsid w:val="00803622"/>
  </w:style>
  <w:style w:type="character" w:customStyle="1" w:styleId="normtextstress">
    <w:name w:val="normtextstress"/>
    <w:basedOn w:val="Absatz-Standardschriftart"/>
    <w:rsid w:val="00803622"/>
  </w:style>
  <w:style w:type="character" w:customStyle="1" w:styleId="berschrift1Zchn">
    <w:name w:val="Überschrift 1 Zchn"/>
    <w:basedOn w:val="Absatz-Standardschriftart"/>
    <w:link w:val="berschrift1"/>
    <w:rsid w:val="00D10C01"/>
    <w:rPr>
      <w:rFonts w:ascii="Arial" w:eastAsia="Times New Roman" w:hAnsi="Arial" w:cs="Arial"/>
      <w:b/>
      <w:bCs/>
      <w:kern w:val="36"/>
      <w:sz w:val="23"/>
      <w:szCs w:val="23"/>
      <w:lang w:val="de-DE" w:eastAsia="de-DE"/>
    </w:rPr>
  </w:style>
  <w:style w:type="character" w:customStyle="1" w:styleId="linkkleinuberschrift">
    <w:name w:val="linkkleinuberschrift"/>
    <w:basedOn w:val="Absatz-Standardschriftart"/>
    <w:rsid w:val="00D10C01"/>
  </w:style>
  <w:style w:type="paragraph" w:styleId="StandardWeb">
    <w:name w:val="Normal (Web)"/>
    <w:basedOn w:val="Standard"/>
    <w:uiPriority w:val="99"/>
    <w:rsid w:val="00D1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B72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A5F"/>
  </w:style>
  <w:style w:type="paragraph" w:styleId="Fuzeile">
    <w:name w:val="footer"/>
    <w:basedOn w:val="Standard"/>
    <w:link w:val="FuzeileZchn"/>
    <w:uiPriority w:val="99"/>
    <w:unhideWhenUsed/>
    <w:rsid w:val="00A8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A5F"/>
  </w:style>
  <w:style w:type="character" w:styleId="Seitenzahl">
    <w:name w:val="page number"/>
    <w:basedOn w:val="Absatz-Standardschriftart"/>
    <w:rsid w:val="00A86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29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D972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72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72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2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7246"/>
    <w:rPr>
      <w:b/>
      <w:bCs/>
      <w:sz w:val="20"/>
      <w:szCs w:val="20"/>
    </w:rPr>
  </w:style>
  <w:style w:type="character" w:customStyle="1" w:styleId="tel">
    <w:name w:val="tel"/>
    <w:basedOn w:val="Absatz-Standardschriftart"/>
    <w:rsid w:val="00124104"/>
  </w:style>
  <w:style w:type="paragraph" w:styleId="berarbeitung">
    <w:name w:val="Revision"/>
    <w:hidden/>
    <w:uiPriority w:val="99"/>
    <w:semiHidden/>
    <w:rsid w:val="002A6F03"/>
    <w:pPr>
      <w:spacing w:after="0" w:line="240" w:lineRule="auto"/>
    </w:pPr>
  </w:style>
  <w:style w:type="paragraph" w:customStyle="1" w:styleId="Default">
    <w:name w:val="Default"/>
    <w:rsid w:val="00377F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3EB0717C26C40B770CAACF0C47AD3" ma:contentTypeVersion="14" ma:contentTypeDescription="Create a new document." ma:contentTypeScope="" ma:versionID="78bc154ac36212aa42846d260eb3fdd3">
  <xsd:schema xmlns:xsd="http://www.w3.org/2001/XMLSchema" xmlns:xs="http://www.w3.org/2001/XMLSchema" xmlns:p="http://schemas.microsoft.com/office/2006/metadata/properties" xmlns:ns3="b069bb31-bcd1-46c0-8cf8-4618da3384c7" xmlns:ns4="975e10ae-2419-4a3c-985d-e6d69f159692" targetNamespace="http://schemas.microsoft.com/office/2006/metadata/properties" ma:root="true" ma:fieldsID="282e3afc2732fb9ec3c5c4461e212906" ns3:_="" ns4:_="">
    <xsd:import namespace="b069bb31-bcd1-46c0-8cf8-4618da3384c7"/>
    <xsd:import namespace="975e10ae-2419-4a3c-985d-e6d69f159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bb31-bcd1-46c0-8cf8-4618da33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10ae-2419-4a3c-985d-e6d69f159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8BE156FE-2FD6-4A3C-AE88-29AD67243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95295-2CB3-4BB0-AF8F-3C0D8E8DD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B8E72-A589-4DDF-B65C-95068769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9bb31-bcd1-46c0-8cf8-4618da3384c7"/>
    <ds:schemaRef ds:uri="975e10ae-2419-4a3c-985d-e6d69f159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A114B-8A3C-4884-BCA4-CCFCAA7C02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4</cp:revision>
  <cp:lastPrinted>2018-09-25T20:03:00Z</cp:lastPrinted>
  <dcterms:created xsi:type="dcterms:W3CDTF">2021-10-11T14:29:00Z</dcterms:created>
  <dcterms:modified xsi:type="dcterms:W3CDTF">2021-10-13T14:37:00Z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7d928297-a948-43e4-8b95-76c8487c236a</vt:lpwstr>
  </property>
  <property fmtid="{D5CDD505-2E9C-101B-9397-08002B2CF9AE}" pid="3" name="bjSaver">
    <vt:lpwstr>Y6/FfbYg5mWc18YOeGrhIbSZml0bzvR8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Public - General Business</vt:lpwstr>
  </property>
  <property fmtid="{D5CDD505-2E9C-101B-9397-08002B2CF9AE}" pid="7" name="ContentTypeId">
    <vt:lpwstr>0x0101003723EB0717C26C40B770CAACF0C47AD3</vt:lpwstr>
  </property>
</Properties>
</file>