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0D2" w:rsidRPr="005C5068" w:rsidRDefault="001220D2" w:rsidP="001220D2">
      <w:pPr>
        <w:autoSpaceDE w:val="0"/>
        <w:autoSpaceDN w:val="0"/>
        <w:adjustRightInd w:val="0"/>
        <w:spacing w:before="600" w:line="312" w:lineRule="auto"/>
        <w:rPr>
          <w:rFonts w:cs="Arial"/>
          <w:b/>
          <w:bCs/>
          <w:szCs w:val="24"/>
          <w:lang w:val="nb-NO"/>
        </w:rPr>
      </w:pPr>
      <w:r w:rsidRPr="005C5068">
        <w:rPr>
          <w:rFonts w:cs="Arial"/>
          <w:b/>
          <w:bCs/>
          <w:szCs w:val="24"/>
          <w:lang w:val="nb-NO"/>
        </w:rPr>
        <w:t>Dr. Matthias Hackl</w:t>
      </w:r>
    </w:p>
    <w:p w:rsidR="001220D2" w:rsidRPr="005C5068" w:rsidRDefault="001220D2" w:rsidP="001220D2">
      <w:pPr>
        <w:autoSpaceDE w:val="0"/>
        <w:autoSpaceDN w:val="0"/>
        <w:adjustRightInd w:val="0"/>
        <w:spacing w:line="312" w:lineRule="auto"/>
        <w:rPr>
          <w:rFonts w:cs="Arial"/>
          <w:szCs w:val="24"/>
        </w:rPr>
      </w:pPr>
      <w:proofErr w:type="spellStart"/>
      <w:r w:rsidRPr="005C5068">
        <w:rPr>
          <w:rFonts w:cs="Arial"/>
          <w:szCs w:val="24"/>
        </w:rPr>
        <w:t>Geschäftsführer</w:t>
      </w:r>
      <w:proofErr w:type="spellEnd"/>
      <w:r w:rsidRPr="005C5068">
        <w:rPr>
          <w:rFonts w:cs="Arial"/>
          <w:szCs w:val="24"/>
        </w:rPr>
        <w:t xml:space="preserve"> </w:t>
      </w:r>
      <w:proofErr w:type="spellStart"/>
      <w:r w:rsidRPr="005C5068">
        <w:rPr>
          <w:rFonts w:cs="Arial"/>
          <w:szCs w:val="24"/>
        </w:rPr>
        <w:t>TAmiRNA</w:t>
      </w:r>
      <w:proofErr w:type="spellEnd"/>
      <w:r w:rsidRPr="005C5068">
        <w:rPr>
          <w:rFonts w:cs="Arial"/>
          <w:szCs w:val="24"/>
        </w:rPr>
        <w:t xml:space="preserve"> GmbH </w:t>
      </w:r>
    </w:p>
    <w:p w:rsidR="001220D2" w:rsidRPr="000C70F8" w:rsidRDefault="001220D2" w:rsidP="001220D2">
      <w:pPr>
        <w:autoSpaceDE w:val="0"/>
        <w:autoSpaceDN w:val="0"/>
        <w:adjustRightInd w:val="0"/>
        <w:spacing w:line="312" w:lineRule="auto"/>
        <w:rPr>
          <w:rFonts w:cs="Arial"/>
          <w:szCs w:val="24"/>
          <w:lang w:val="de-DE"/>
        </w:rPr>
      </w:pPr>
    </w:p>
    <w:p w:rsidR="001220D2" w:rsidRPr="000C70F8" w:rsidRDefault="001220D2" w:rsidP="001220D2">
      <w:pPr>
        <w:spacing w:after="120" w:line="312" w:lineRule="auto"/>
        <w:rPr>
          <w:rFonts w:cs="Arial"/>
          <w:b/>
          <w:sz w:val="28"/>
          <w:szCs w:val="26"/>
        </w:rPr>
      </w:pPr>
      <w:proofErr w:type="spellStart"/>
      <w:r w:rsidRPr="000C70F8">
        <w:rPr>
          <w:rFonts w:cs="Arial"/>
          <w:b/>
          <w:sz w:val="28"/>
          <w:szCs w:val="26"/>
        </w:rPr>
        <w:t>Neue</w:t>
      </w:r>
      <w:proofErr w:type="spellEnd"/>
      <w:r w:rsidRPr="000C70F8">
        <w:rPr>
          <w:rFonts w:cs="Arial"/>
          <w:b/>
          <w:sz w:val="28"/>
          <w:szCs w:val="26"/>
        </w:rPr>
        <w:t xml:space="preserve"> </w:t>
      </w:r>
      <w:proofErr w:type="spellStart"/>
      <w:r w:rsidRPr="000C70F8">
        <w:rPr>
          <w:rFonts w:cs="Arial"/>
          <w:b/>
          <w:sz w:val="28"/>
          <w:szCs w:val="26"/>
        </w:rPr>
        <w:t>Wege</w:t>
      </w:r>
      <w:proofErr w:type="spellEnd"/>
      <w:r w:rsidRPr="000C70F8">
        <w:rPr>
          <w:rFonts w:cs="Arial"/>
          <w:b/>
          <w:sz w:val="28"/>
          <w:szCs w:val="26"/>
        </w:rPr>
        <w:t xml:space="preserve"> in </w:t>
      </w:r>
      <w:proofErr w:type="spellStart"/>
      <w:r w:rsidRPr="000C70F8">
        <w:rPr>
          <w:rFonts w:cs="Arial"/>
          <w:b/>
          <w:sz w:val="28"/>
          <w:szCs w:val="26"/>
        </w:rPr>
        <w:t>der</w:t>
      </w:r>
      <w:proofErr w:type="spellEnd"/>
      <w:r w:rsidRPr="000C70F8">
        <w:rPr>
          <w:rFonts w:cs="Arial"/>
          <w:b/>
          <w:sz w:val="28"/>
          <w:szCs w:val="26"/>
        </w:rPr>
        <w:t xml:space="preserve"> </w:t>
      </w:r>
      <w:proofErr w:type="spellStart"/>
      <w:r w:rsidRPr="000C70F8">
        <w:rPr>
          <w:rFonts w:cs="Arial"/>
          <w:b/>
          <w:sz w:val="28"/>
          <w:szCs w:val="26"/>
        </w:rPr>
        <w:t>Osteoporose-Diagnostik</w:t>
      </w:r>
      <w:proofErr w:type="spellEnd"/>
      <w:r w:rsidRPr="000C70F8">
        <w:rPr>
          <w:rFonts w:cs="Arial"/>
          <w:b/>
          <w:sz w:val="28"/>
          <w:szCs w:val="26"/>
        </w:rPr>
        <w:t xml:space="preserve"> </w:t>
      </w:r>
    </w:p>
    <w:p w:rsidR="001220D2" w:rsidRPr="006A737E" w:rsidRDefault="001220D2" w:rsidP="001220D2">
      <w:pPr>
        <w:autoSpaceDE w:val="0"/>
        <w:autoSpaceDN w:val="0"/>
        <w:adjustRightInd w:val="0"/>
        <w:spacing w:before="120" w:after="40" w:line="312" w:lineRule="auto"/>
        <w:rPr>
          <w:rFonts w:cs="Arial"/>
          <w:b/>
          <w:bCs/>
          <w:szCs w:val="22"/>
          <w:lang w:val="de-DE"/>
        </w:rPr>
      </w:pPr>
      <w:r w:rsidRPr="006A737E">
        <w:rPr>
          <w:rFonts w:cs="Arial"/>
          <w:b/>
          <w:bCs/>
          <w:szCs w:val="22"/>
          <w:lang w:val="de-DE"/>
        </w:rPr>
        <w:t>Herausforderungen in der Diagnostik und Prognostik von Osteoporose</w:t>
      </w:r>
    </w:p>
    <w:p w:rsidR="001220D2" w:rsidRPr="006A737E" w:rsidRDefault="001220D2" w:rsidP="001220D2">
      <w:pPr>
        <w:spacing w:after="120" w:line="312" w:lineRule="auto"/>
        <w:rPr>
          <w:rFonts w:cs="Arial"/>
          <w:bCs/>
          <w:sz w:val="22"/>
          <w:szCs w:val="22"/>
          <w:lang w:val="de-DE"/>
        </w:rPr>
      </w:pPr>
      <w:r w:rsidRPr="006A737E">
        <w:rPr>
          <w:rFonts w:cs="Arial"/>
          <w:bCs/>
          <w:sz w:val="22"/>
          <w:szCs w:val="22"/>
          <w:lang w:val="de-DE"/>
        </w:rPr>
        <w:t xml:space="preserve">Osteoporose ist primär eine Erkrankung der Knochen, bei der jedoch auch andere Organe wie zum Beispiel Muskeln eine wesentliche Rolle spielen können. Osteoporose führt schleichend zu einem stark erhöhten Risiko für sogenannte „nicht-traumatische“ Frakturen. Darunter versteht man insbesondere Frakturen, die ohne große Energieeinwirkung, zum Beispiel aufgrund eines Sturzes, auftreten. Die Inzidenz </w:t>
      </w:r>
      <w:proofErr w:type="spellStart"/>
      <w:r w:rsidRPr="006A737E">
        <w:rPr>
          <w:rFonts w:cs="Arial"/>
          <w:bCs/>
          <w:sz w:val="22"/>
          <w:szCs w:val="22"/>
          <w:lang w:val="de-DE"/>
        </w:rPr>
        <w:t>osteoporotischer</w:t>
      </w:r>
      <w:proofErr w:type="spellEnd"/>
      <w:r w:rsidRPr="006A737E">
        <w:rPr>
          <w:rFonts w:cs="Arial"/>
          <w:bCs/>
          <w:sz w:val="22"/>
          <w:szCs w:val="22"/>
          <w:lang w:val="de-DE"/>
        </w:rPr>
        <w:t xml:space="preserve"> Frakturen steigt seit mehreren Jahren exponentiell und stellt eine große Belastung für die Patienten und Patientinnen in Form von Immobilität, Morbidität und sogar Mortalität dar. Aufgrund der hohen Folgekosten von Frakturen, verursacht durch Operationen, Spitalsaufenthalte und Pflegebedarf, steigen die durch Osteoporose verursachten Kosten für das Gesundheitssystem rasant. Im Vergleich mit anderen Erkrankungen, so zeigt eine aktuelle Studie aus England</w:t>
      </w:r>
      <w:r w:rsidRPr="006A737E">
        <w:rPr>
          <w:rStyle w:val="Funotenzeichen"/>
          <w:rFonts w:cs="Arial"/>
          <w:bCs/>
          <w:sz w:val="22"/>
          <w:szCs w:val="22"/>
          <w:lang w:val="de-DE"/>
        </w:rPr>
        <w:footnoteReference w:id="1"/>
      </w:r>
      <w:r w:rsidRPr="006A737E">
        <w:rPr>
          <w:rStyle w:val="Funotenzeichen"/>
          <w:rFonts w:cs="Arial"/>
          <w:sz w:val="22"/>
          <w:szCs w:val="22"/>
          <w:lang w:val="de-DE"/>
        </w:rPr>
        <w:t>,</w:t>
      </w:r>
      <w:r w:rsidRPr="006A737E">
        <w:rPr>
          <w:rStyle w:val="Funotenzeichen"/>
          <w:rFonts w:cs="Arial"/>
          <w:bCs/>
          <w:sz w:val="22"/>
          <w:szCs w:val="22"/>
          <w:lang w:val="de-DE"/>
        </w:rPr>
        <w:footnoteReference w:id="2"/>
      </w:r>
      <w:r w:rsidRPr="006A737E">
        <w:rPr>
          <w:rFonts w:cs="Arial"/>
          <w:bCs/>
          <w:sz w:val="22"/>
          <w:szCs w:val="22"/>
          <w:lang w:val="de-DE"/>
        </w:rPr>
        <w:t xml:space="preserve">, übersteigt die „gesundheitsökonomische Belastung“ durch </w:t>
      </w:r>
      <w:proofErr w:type="spellStart"/>
      <w:r w:rsidRPr="006A737E">
        <w:rPr>
          <w:rFonts w:cs="Arial"/>
          <w:bCs/>
          <w:sz w:val="22"/>
          <w:szCs w:val="22"/>
          <w:lang w:val="de-DE"/>
        </w:rPr>
        <w:t>osteoporotische</w:t>
      </w:r>
      <w:proofErr w:type="spellEnd"/>
      <w:r w:rsidRPr="006A737E">
        <w:rPr>
          <w:rFonts w:cs="Arial"/>
          <w:bCs/>
          <w:sz w:val="22"/>
          <w:szCs w:val="22"/>
          <w:lang w:val="de-DE"/>
        </w:rPr>
        <w:t xml:space="preserve"> Frakturen bereits jene, die durch Brustkrebs oder Darmkrebs, zwei der häufigsten Krebserkrankungen bei Frauen in Österreich, verursacht werden.</w:t>
      </w:r>
    </w:p>
    <w:p w:rsidR="001220D2" w:rsidRPr="006A737E" w:rsidRDefault="001220D2" w:rsidP="001220D2">
      <w:pPr>
        <w:spacing w:after="120" w:line="312" w:lineRule="auto"/>
        <w:rPr>
          <w:rFonts w:cs="Arial"/>
          <w:bCs/>
          <w:sz w:val="22"/>
          <w:szCs w:val="22"/>
          <w:lang w:val="de-DE"/>
        </w:rPr>
      </w:pPr>
      <w:r w:rsidRPr="006A737E">
        <w:rPr>
          <w:rFonts w:cs="Arial"/>
          <w:bCs/>
          <w:sz w:val="22"/>
          <w:szCs w:val="22"/>
          <w:lang w:val="de-DE"/>
        </w:rPr>
        <w:t xml:space="preserve">Diese Zahlen sind insofern etwas überraschend, weil wir seit Jahren sowohl über pharmazeutische als auch über nicht-pharmazeutische Strategien verfügen, die das Frakturrisiko um bis zu 80% senken können. Eine der großen Herausforderungen für erfolgreiches Management von Osteoporose stellt die Diagnose, beziehungsweise noch wichtiger, </w:t>
      </w:r>
      <w:r w:rsidRPr="006A737E">
        <w:rPr>
          <w:rFonts w:cs="Arial"/>
          <w:b/>
          <w:bCs/>
          <w:sz w:val="22"/>
          <w:szCs w:val="22"/>
          <w:lang w:val="de-DE"/>
        </w:rPr>
        <w:t>die Prognose des Frakturrisikos dar</w:t>
      </w:r>
      <w:r w:rsidRPr="006A737E">
        <w:rPr>
          <w:rFonts w:cs="Arial"/>
          <w:bCs/>
          <w:sz w:val="22"/>
          <w:szCs w:val="22"/>
          <w:lang w:val="de-DE"/>
        </w:rPr>
        <w:t xml:space="preserve">. Die Schwierigkeit der exakten Prognose des Frakturrisikos als Entscheidungsgrundlage für </w:t>
      </w:r>
      <w:r w:rsidRPr="006A737E">
        <w:rPr>
          <w:rFonts w:cs="Arial"/>
          <w:b/>
          <w:bCs/>
          <w:sz w:val="22"/>
          <w:szCs w:val="22"/>
          <w:lang w:val="de-DE"/>
        </w:rPr>
        <w:t>präventive therapeutische Maßnahmen</w:t>
      </w:r>
      <w:r w:rsidRPr="006A737E">
        <w:rPr>
          <w:rFonts w:cs="Arial"/>
          <w:bCs/>
          <w:sz w:val="22"/>
          <w:szCs w:val="22"/>
          <w:lang w:val="de-DE"/>
        </w:rPr>
        <w:t xml:space="preserve"> hat drei wesentliche Gründe:</w:t>
      </w:r>
    </w:p>
    <w:p w:rsidR="001220D2" w:rsidRPr="006A737E" w:rsidRDefault="001220D2" w:rsidP="001220D2">
      <w:pPr>
        <w:spacing w:after="120" w:line="312" w:lineRule="auto"/>
        <w:rPr>
          <w:rFonts w:cs="Arial"/>
          <w:bCs/>
          <w:sz w:val="22"/>
          <w:szCs w:val="22"/>
          <w:lang w:val="de-DE"/>
        </w:rPr>
      </w:pPr>
      <w:r w:rsidRPr="006A737E">
        <w:rPr>
          <w:rFonts w:cs="Arial"/>
          <w:bCs/>
          <w:sz w:val="22"/>
          <w:szCs w:val="22"/>
          <w:lang w:val="de-DE"/>
        </w:rPr>
        <w:t xml:space="preserve">1) Osteoporose verläuft zum überwiegenden Teil asymptomatisch, d.h. die betroffenen Personen zeigen kaum Symptome wie z.B. Schmerzen, die auf die Erkrankung hinweisen könnten. </w:t>
      </w:r>
      <w:r w:rsidRPr="006A737E">
        <w:rPr>
          <w:rFonts w:cs="Arial"/>
          <w:b/>
          <w:bCs/>
          <w:sz w:val="22"/>
          <w:szCs w:val="22"/>
          <w:lang w:val="de-DE"/>
        </w:rPr>
        <w:t>Unsere Patienten* wissen nicht, dass sie krank sind.</w:t>
      </w:r>
    </w:p>
    <w:p w:rsidR="001220D2" w:rsidRPr="006A737E" w:rsidRDefault="001220D2" w:rsidP="001220D2">
      <w:pPr>
        <w:spacing w:after="120" w:line="312" w:lineRule="auto"/>
        <w:rPr>
          <w:rFonts w:cs="Arial"/>
          <w:b/>
          <w:bCs/>
          <w:sz w:val="22"/>
          <w:szCs w:val="22"/>
          <w:lang w:val="de-DE"/>
        </w:rPr>
      </w:pPr>
      <w:r w:rsidRPr="006A737E">
        <w:rPr>
          <w:rFonts w:cs="Arial"/>
          <w:bCs/>
          <w:sz w:val="22"/>
          <w:szCs w:val="22"/>
          <w:lang w:val="de-DE"/>
        </w:rPr>
        <w:t xml:space="preserve">2) Daraus erschließt sich, dass eine erfolgreiche Prognose nur durch „populations-basiertes Screening“ in einer bestimmten Altersgruppe erreicht werden kann. Die vorhandenen bildgebenden diagnostischen Verfahren wie Knochendichtemessungen sind jedoch in der Regel nur zentral verfügbar, wodurch dezentrales und flächendeckendes Screening erschwert wird. </w:t>
      </w:r>
      <w:r w:rsidRPr="006A737E">
        <w:rPr>
          <w:rFonts w:cs="Arial"/>
          <w:b/>
          <w:bCs/>
          <w:sz w:val="22"/>
          <w:szCs w:val="22"/>
          <w:lang w:val="de-DE"/>
        </w:rPr>
        <w:t>Die Zugänglichkeit der vorhandenen diagnostischen Verfahren und die „Compliance“ der Inanspruchnahme sind nicht optimal.</w:t>
      </w:r>
    </w:p>
    <w:p w:rsidR="001220D2" w:rsidRPr="006A737E" w:rsidRDefault="001220D2" w:rsidP="001220D2">
      <w:pPr>
        <w:spacing w:after="120" w:line="312" w:lineRule="auto"/>
        <w:rPr>
          <w:rFonts w:cs="Arial"/>
          <w:bCs/>
          <w:sz w:val="22"/>
          <w:szCs w:val="22"/>
          <w:lang w:val="de-DE"/>
        </w:rPr>
      </w:pPr>
      <w:r w:rsidRPr="006A737E">
        <w:rPr>
          <w:rFonts w:cs="Arial"/>
          <w:bCs/>
          <w:sz w:val="22"/>
          <w:szCs w:val="22"/>
          <w:lang w:val="de-DE"/>
        </w:rPr>
        <w:lastRenderedPageBreak/>
        <w:t xml:space="preserve">3) Osteoporose ist eine „multifaktorielle“ Erkrankung. Das heißt, das Gesamtrisiko eines Menschen für eine </w:t>
      </w:r>
      <w:proofErr w:type="spellStart"/>
      <w:r w:rsidRPr="006A737E">
        <w:rPr>
          <w:rFonts w:cs="Arial"/>
          <w:bCs/>
          <w:sz w:val="22"/>
          <w:szCs w:val="22"/>
          <w:lang w:val="de-DE"/>
        </w:rPr>
        <w:t>osteoporotische</w:t>
      </w:r>
      <w:proofErr w:type="spellEnd"/>
      <w:r w:rsidRPr="006A737E">
        <w:rPr>
          <w:rFonts w:cs="Arial"/>
          <w:bCs/>
          <w:sz w:val="22"/>
          <w:szCs w:val="22"/>
          <w:lang w:val="de-DE"/>
        </w:rPr>
        <w:t xml:space="preserve"> Fraktur setzt sich aus zahlreichen Einzelfaktoren zusammen, wie zum Beispiel der Knochendichte, der Knochenmikrostruktur, den genetischen Voraussetzungen, dem Lebensstil, der Muskelstärke (beeinflusst das Sturzrisiko) und den vorhandenen kognitiven Fähigkeiten (Gleichgewicht, Sehstärke etc.). Diese „Puzzlebild“ der Osteoporose, das heißt der Anteil jedes einzelnen Risikofaktors am Gesamtrisiko, unterscheidet sich von Patientin zu Patientin mitunter sehr stark. Daher bedarf es einer Personalisierung der Diagnose und Prognose des Frakturrisikos unter möglichst vollständiger Berücksichtigung aller Risikofaktoren. </w:t>
      </w:r>
    </w:p>
    <w:p w:rsidR="001220D2" w:rsidRPr="006A737E" w:rsidRDefault="001220D2" w:rsidP="001220D2">
      <w:pPr>
        <w:spacing w:after="120" w:line="312" w:lineRule="auto"/>
        <w:rPr>
          <w:rFonts w:cs="Arial"/>
          <w:bCs/>
          <w:sz w:val="22"/>
          <w:szCs w:val="22"/>
          <w:lang w:val="de-DE"/>
        </w:rPr>
      </w:pPr>
      <w:r w:rsidRPr="006A737E">
        <w:rPr>
          <w:rFonts w:cs="Arial"/>
          <w:b/>
          <w:bCs/>
          <w:sz w:val="22"/>
          <w:szCs w:val="22"/>
          <w:lang w:val="de-DE"/>
        </w:rPr>
        <w:t>Die derzeit in erster Linie zur Diagnose der Osteoporose verwendete Knochendichtemessung funktioniert gut für eine Untergruppe der Patienten, ist aber nicht ausreichend sensitiv und spezifisch für die gesamte Population. Dies zeigt sich daran, dass jede zweite Person mit Fraktur eine Knochendichte aufweist, die nicht in jenem Bereich liegt</w:t>
      </w:r>
      <w:r w:rsidRPr="006A737E">
        <w:rPr>
          <w:rStyle w:val="Funotenzeichen"/>
          <w:rFonts w:cs="Arial"/>
          <w:b/>
          <w:bCs/>
          <w:sz w:val="22"/>
          <w:szCs w:val="22"/>
          <w:lang w:val="de-DE"/>
        </w:rPr>
        <w:footnoteReference w:id="3"/>
      </w:r>
      <w:r w:rsidRPr="006A737E">
        <w:rPr>
          <w:rStyle w:val="Funotenzeichen"/>
          <w:rFonts w:cs="Arial"/>
          <w:sz w:val="22"/>
          <w:szCs w:val="22"/>
          <w:lang w:val="de-DE"/>
        </w:rPr>
        <w:t>,</w:t>
      </w:r>
      <w:r w:rsidRPr="006A737E">
        <w:rPr>
          <w:rStyle w:val="Funotenzeichen"/>
          <w:rFonts w:cs="Arial"/>
          <w:b/>
          <w:bCs/>
          <w:sz w:val="22"/>
          <w:szCs w:val="22"/>
          <w:lang w:val="de-DE"/>
        </w:rPr>
        <w:footnoteReference w:id="4"/>
      </w:r>
      <w:r w:rsidRPr="006A737E">
        <w:rPr>
          <w:rFonts w:cs="Arial"/>
          <w:b/>
          <w:bCs/>
          <w:sz w:val="22"/>
          <w:szCs w:val="22"/>
          <w:lang w:val="de-DE"/>
        </w:rPr>
        <w:t xml:space="preserve">, der entsprechend klinischer </w:t>
      </w:r>
      <w:proofErr w:type="spellStart"/>
      <w:r w:rsidRPr="006A737E">
        <w:rPr>
          <w:rFonts w:cs="Arial"/>
          <w:b/>
          <w:bCs/>
          <w:sz w:val="22"/>
          <w:szCs w:val="22"/>
          <w:lang w:val="de-DE"/>
        </w:rPr>
        <w:t>Guidelines</w:t>
      </w:r>
      <w:proofErr w:type="spellEnd"/>
      <w:r w:rsidRPr="006A737E">
        <w:rPr>
          <w:rFonts w:cs="Arial"/>
          <w:b/>
          <w:bCs/>
          <w:sz w:val="22"/>
          <w:szCs w:val="22"/>
          <w:lang w:val="de-DE"/>
        </w:rPr>
        <w:t xml:space="preserve"> als Osteoporose bezeichnet wird.</w:t>
      </w:r>
    </w:p>
    <w:p w:rsidR="001220D2" w:rsidRPr="006A737E" w:rsidRDefault="001220D2" w:rsidP="001220D2">
      <w:pPr>
        <w:autoSpaceDE w:val="0"/>
        <w:autoSpaceDN w:val="0"/>
        <w:adjustRightInd w:val="0"/>
        <w:spacing w:before="120" w:after="40" w:line="312" w:lineRule="auto"/>
        <w:rPr>
          <w:rFonts w:cs="Arial"/>
          <w:b/>
          <w:bCs/>
          <w:szCs w:val="22"/>
          <w:lang w:val="de-DE"/>
        </w:rPr>
      </w:pPr>
      <w:r w:rsidRPr="006A737E">
        <w:rPr>
          <w:rFonts w:cs="Arial"/>
          <w:b/>
          <w:bCs/>
          <w:szCs w:val="22"/>
          <w:lang w:val="de-DE"/>
        </w:rPr>
        <w:t>Das Grundprinzip der neuen Diagnostik und Prognostik, ihre Möglichkeiten und Vorteile</w:t>
      </w:r>
    </w:p>
    <w:p w:rsidR="001220D2" w:rsidRPr="006A737E" w:rsidRDefault="001220D2" w:rsidP="001220D2">
      <w:pPr>
        <w:tabs>
          <w:tab w:val="left" w:pos="900"/>
        </w:tabs>
        <w:spacing w:after="120" w:line="312" w:lineRule="auto"/>
        <w:rPr>
          <w:rFonts w:cs="Arial"/>
          <w:sz w:val="22"/>
          <w:szCs w:val="22"/>
          <w:lang w:val="de-DE"/>
        </w:rPr>
      </w:pPr>
      <w:r w:rsidRPr="006A737E">
        <w:rPr>
          <w:rFonts w:cs="Arial"/>
          <w:sz w:val="22"/>
          <w:szCs w:val="22"/>
          <w:lang w:val="de-DE"/>
        </w:rPr>
        <w:t xml:space="preserve">Im Rahmen der Forschungs- und Entwicklungstätigkeiten der </w:t>
      </w:r>
      <w:proofErr w:type="spellStart"/>
      <w:r w:rsidRPr="006A737E">
        <w:rPr>
          <w:rFonts w:cs="Arial"/>
          <w:sz w:val="22"/>
          <w:szCs w:val="22"/>
          <w:lang w:val="de-DE"/>
        </w:rPr>
        <w:t>TAmiRNA</w:t>
      </w:r>
      <w:proofErr w:type="spellEnd"/>
      <w:r w:rsidRPr="006A737E">
        <w:rPr>
          <w:rFonts w:cs="Arial"/>
          <w:sz w:val="22"/>
          <w:szCs w:val="22"/>
          <w:lang w:val="de-DE"/>
        </w:rPr>
        <w:t xml:space="preserve"> GmbH entwickeln wir ein personalisiertes prognostisches Verfahren für das Frakturrisiko. Es kann damit also das ganz persönliche Risiko für das Auftreten eines </w:t>
      </w:r>
      <w:proofErr w:type="spellStart"/>
      <w:r w:rsidRPr="006A737E">
        <w:rPr>
          <w:rFonts w:cs="Arial"/>
          <w:sz w:val="22"/>
          <w:szCs w:val="22"/>
          <w:lang w:val="de-DE"/>
        </w:rPr>
        <w:t>osteoporotischen</w:t>
      </w:r>
      <w:proofErr w:type="spellEnd"/>
      <w:r w:rsidRPr="006A737E">
        <w:rPr>
          <w:rFonts w:cs="Arial"/>
          <w:sz w:val="22"/>
          <w:szCs w:val="22"/>
          <w:lang w:val="de-DE"/>
        </w:rPr>
        <w:t xml:space="preserve"> Knochenbruchs vorausgesagt werden. Ein weiterer Vorteil dieses Verfahrens: Es kann rasch und flächendeckend einer großen Zahl an möglicherweise erkrankten Personen verfügbar gemacht werden. </w:t>
      </w:r>
    </w:p>
    <w:p w:rsidR="001220D2" w:rsidRPr="006A737E" w:rsidRDefault="001220D2" w:rsidP="001220D2">
      <w:pPr>
        <w:tabs>
          <w:tab w:val="left" w:pos="900"/>
        </w:tabs>
        <w:spacing w:after="120" w:line="312" w:lineRule="auto"/>
        <w:rPr>
          <w:rFonts w:cs="Arial"/>
          <w:sz w:val="22"/>
          <w:szCs w:val="22"/>
          <w:lang w:val="de-DE"/>
        </w:rPr>
      </w:pPr>
      <w:r w:rsidRPr="006A737E">
        <w:rPr>
          <w:rFonts w:cs="Arial"/>
          <w:sz w:val="22"/>
          <w:szCs w:val="22"/>
          <w:lang w:val="de-DE"/>
        </w:rPr>
        <w:t>Dieser „</w:t>
      </w:r>
      <w:proofErr w:type="spellStart"/>
      <w:r w:rsidRPr="006A737E">
        <w:rPr>
          <w:rFonts w:cs="Arial"/>
          <w:sz w:val="22"/>
          <w:szCs w:val="22"/>
          <w:lang w:val="de-DE"/>
        </w:rPr>
        <w:t>osteomiR</w:t>
      </w:r>
      <w:proofErr w:type="spellEnd"/>
      <w:r w:rsidRPr="006A737E">
        <w:rPr>
          <w:rFonts w:cs="Arial"/>
          <w:sz w:val="22"/>
          <w:szCs w:val="22"/>
          <w:lang w:val="de-DE"/>
        </w:rPr>
        <w:t xml:space="preserve">™“ Test ist </w:t>
      </w:r>
      <w:proofErr w:type="spellStart"/>
      <w:r w:rsidRPr="006A737E">
        <w:rPr>
          <w:rFonts w:cs="Arial"/>
          <w:sz w:val="22"/>
          <w:szCs w:val="22"/>
          <w:lang w:val="de-DE"/>
        </w:rPr>
        <w:t>blut</w:t>
      </w:r>
      <w:proofErr w:type="spellEnd"/>
      <w:r w:rsidRPr="006A737E">
        <w:rPr>
          <w:rFonts w:cs="Arial"/>
          <w:sz w:val="22"/>
          <w:szCs w:val="22"/>
          <w:lang w:val="de-DE"/>
        </w:rPr>
        <w:t>-basiert, das heißt, er wird anhand eines Tropfens Serum durchgeführt, welches haltbar ist und verschickt werden kann, bevor es in einem Labor analysiert wird. Anstelle des Patienten „wandert“ bei diesem Verfahren demnach die Blutprobe zur Untersuchung ins Labor. Von dort wird dann der Befund elektronisch zu Arzt und Patient geleitet. Dadurch kann dieser Test auch bei nicht-mobilen Menschen oder Menschen an entlegenen Orten durchführt werden.</w:t>
      </w:r>
    </w:p>
    <w:p w:rsidR="001220D2" w:rsidRPr="006A737E" w:rsidRDefault="001220D2" w:rsidP="001220D2">
      <w:pPr>
        <w:autoSpaceDE w:val="0"/>
        <w:autoSpaceDN w:val="0"/>
        <w:adjustRightInd w:val="0"/>
        <w:spacing w:before="120" w:after="40" w:line="312" w:lineRule="auto"/>
        <w:rPr>
          <w:rFonts w:cs="Arial"/>
          <w:b/>
          <w:bCs/>
          <w:szCs w:val="22"/>
          <w:lang w:val="de-DE"/>
        </w:rPr>
      </w:pPr>
      <w:r w:rsidRPr="006A737E">
        <w:rPr>
          <w:rFonts w:cs="Arial"/>
          <w:b/>
          <w:bCs/>
          <w:szCs w:val="22"/>
          <w:lang w:val="de-DE"/>
        </w:rPr>
        <w:t xml:space="preserve">Wie funktioniert der </w:t>
      </w:r>
      <w:proofErr w:type="spellStart"/>
      <w:r w:rsidRPr="006A737E">
        <w:rPr>
          <w:rFonts w:cs="Arial"/>
          <w:b/>
          <w:bCs/>
          <w:szCs w:val="22"/>
          <w:lang w:val="de-DE"/>
        </w:rPr>
        <w:t>osteomiR</w:t>
      </w:r>
      <w:proofErr w:type="spellEnd"/>
      <w:r w:rsidRPr="006A737E">
        <w:rPr>
          <w:rFonts w:cs="Arial"/>
          <w:b/>
          <w:bCs/>
          <w:szCs w:val="22"/>
          <w:lang w:val="de-DE"/>
        </w:rPr>
        <w:t xml:space="preserve">™ Test? </w:t>
      </w:r>
    </w:p>
    <w:p w:rsidR="001220D2" w:rsidRPr="006A737E" w:rsidRDefault="001220D2" w:rsidP="001220D2">
      <w:pPr>
        <w:tabs>
          <w:tab w:val="left" w:pos="900"/>
        </w:tabs>
        <w:spacing w:after="120" w:line="312" w:lineRule="auto"/>
        <w:rPr>
          <w:rFonts w:cs="Arial"/>
          <w:sz w:val="22"/>
          <w:szCs w:val="22"/>
          <w:lang w:val="de-DE"/>
        </w:rPr>
      </w:pPr>
      <w:r w:rsidRPr="006A737E">
        <w:rPr>
          <w:rFonts w:cs="Arial"/>
          <w:sz w:val="22"/>
          <w:szCs w:val="22"/>
          <w:lang w:val="de-DE"/>
        </w:rPr>
        <w:t xml:space="preserve">Im Labor wird mithilfe des </w:t>
      </w:r>
      <w:proofErr w:type="spellStart"/>
      <w:r w:rsidRPr="006A737E">
        <w:rPr>
          <w:rFonts w:cs="Arial"/>
          <w:sz w:val="22"/>
          <w:szCs w:val="22"/>
          <w:lang w:val="de-DE"/>
        </w:rPr>
        <w:t>osteomiR</w:t>
      </w:r>
      <w:proofErr w:type="spellEnd"/>
      <w:r w:rsidRPr="006A737E">
        <w:rPr>
          <w:rFonts w:cs="Arial"/>
          <w:sz w:val="22"/>
          <w:szCs w:val="22"/>
          <w:lang w:val="de-DE"/>
        </w:rPr>
        <w:t xml:space="preserve">™ Tests die Konzentration von mehreren </w:t>
      </w:r>
      <w:proofErr w:type="spellStart"/>
      <w:r w:rsidRPr="006A737E">
        <w:rPr>
          <w:rFonts w:cs="Arial"/>
          <w:sz w:val="22"/>
          <w:szCs w:val="22"/>
          <w:lang w:val="de-DE"/>
        </w:rPr>
        <w:t>RNA</w:t>
      </w:r>
      <w:proofErr w:type="spellEnd"/>
      <w:r w:rsidRPr="006A737E">
        <w:rPr>
          <w:rFonts w:cs="Arial"/>
          <w:sz w:val="22"/>
          <w:szCs w:val="22"/>
          <w:lang w:val="de-DE"/>
        </w:rPr>
        <w:t xml:space="preserve">- (Ribonukleinsäure) Molekülen im Serum gemessen. Es handelt sich dabei um sehr kurze </w:t>
      </w:r>
      <w:proofErr w:type="spellStart"/>
      <w:r w:rsidRPr="006A737E">
        <w:rPr>
          <w:rFonts w:cs="Arial"/>
          <w:sz w:val="22"/>
          <w:szCs w:val="22"/>
          <w:lang w:val="de-DE"/>
        </w:rPr>
        <w:t>RNAs</w:t>
      </w:r>
      <w:proofErr w:type="spellEnd"/>
      <w:r w:rsidRPr="006A737E">
        <w:rPr>
          <w:rFonts w:cs="Arial"/>
          <w:sz w:val="22"/>
          <w:szCs w:val="22"/>
          <w:lang w:val="de-DE"/>
        </w:rPr>
        <w:t>, sogenannte „</w:t>
      </w:r>
      <w:proofErr w:type="spellStart"/>
      <w:r w:rsidRPr="006A737E">
        <w:rPr>
          <w:rFonts w:cs="Arial"/>
          <w:sz w:val="22"/>
          <w:szCs w:val="22"/>
          <w:lang w:val="de-DE"/>
        </w:rPr>
        <w:t>mikroRNAs</w:t>
      </w:r>
      <w:proofErr w:type="spellEnd"/>
      <w:r w:rsidRPr="006A737E">
        <w:rPr>
          <w:rFonts w:cs="Arial"/>
          <w:sz w:val="22"/>
          <w:szCs w:val="22"/>
          <w:lang w:val="de-DE"/>
        </w:rPr>
        <w:t xml:space="preserve">“, welche die Genaktivität regulieren und somit die Übersetzung von genetischer Information in Proteine steuern. Von den mehr als 2.000 bekannten </w:t>
      </w:r>
      <w:proofErr w:type="spellStart"/>
      <w:r w:rsidRPr="006A737E">
        <w:rPr>
          <w:rFonts w:cs="Arial"/>
          <w:sz w:val="22"/>
          <w:szCs w:val="22"/>
          <w:lang w:val="de-DE"/>
        </w:rPr>
        <w:t>mikroRNAs</w:t>
      </w:r>
      <w:proofErr w:type="spellEnd"/>
      <w:r w:rsidRPr="006A737E">
        <w:rPr>
          <w:rFonts w:cs="Arial"/>
          <w:sz w:val="22"/>
          <w:szCs w:val="22"/>
          <w:lang w:val="de-DE"/>
        </w:rPr>
        <w:t xml:space="preserve"> sind bestimmte </w:t>
      </w:r>
      <w:proofErr w:type="spellStart"/>
      <w:r w:rsidRPr="006A737E">
        <w:rPr>
          <w:rFonts w:cs="Arial"/>
          <w:sz w:val="22"/>
          <w:szCs w:val="22"/>
          <w:lang w:val="de-DE"/>
        </w:rPr>
        <w:t>mikroRNAs</w:t>
      </w:r>
      <w:proofErr w:type="spellEnd"/>
      <w:r w:rsidRPr="006A737E">
        <w:rPr>
          <w:rFonts w:cs="Arial"/>
          <w:sz w:val="22"/>
          <w:szCs w:val="22"/>
          <w:lang w:val="de-DE"/>
        </w:rPr>
        <w:t xml:space="preserve"> für die Regulierung des Knochenstoffwechsels, der Muskelbildung oder die Bildung von Botenstoffen für </w:t>
      </w:r>
      <w:r w:rsidRPr="006A737E">
        <w:rPr>
          <w:rFonts w:cs="Arial"/>
          <w:sz w:val="22"/>
          <w:szCs w:val="22"/>
          <w:lang w:val="de-DE"/>
        </w:rPr>
        <w:lastRenderedPageBreak/>
        <w:t xml:space="preserve">Entzündungen verantwortlich </w:t>
      </w:r>
      <w:r w:rsidRPr="006A737E">
        <w:rPr>
          <w:rFonts w:cs="Arial"/>
          <w:i/>
          <w:sz w:val="22"/>
          <w:szCs w:val="22"/>
          <w:lang w:val="de-DE"/>
        </w:rPr>
        <w:t>(</w:t>
      </w:r>
      <w:proofErr w:type="spellStart"/>
      <w:r w:rsidRPr="006A737E">
        <w:rPr>
          <w:rFonts w:cs="Arial"/>
          <w:i/>
          <w:sz w:val="22"/>
          <w:szCs w:val="22"/>
          <w:lang w:val="de-DE"/>
        </w:rPr>
        <w:t>osteomiRs</w:t>
      </w:r>
      <w:proofErr w:type="spellEnd"/>
      <w:r w:rsidRPr="006A737E">
        <w:rPr>
          <w:rFonts w:cs="Arial"/>
          <w:i/>
          <w:sz w:val="22"/>
          <w:szCs w:val="22"/>
          <w:lang w:val="de-DE"/>
        </w:rPr>
        <w:t>)</w:t>
      </w:r>
      <w:r w:rsidRPr="006A737E">
        <w:rPr>
          <w:rFonts w:cs="Arial"/>
          <w:sz w:val="22"/>
          <w:szCs w:val="22"/>
          <w:lang w:val="de-DE"/>
        </w:rPr>
        <w:t xml:space="preserve">. Publizierte Daten weisen darauf hin, dass die Konzentration dieser </w:t>
      </w:r>
      <w:proofErr w:type="spellStart"/>
      <w:r w:rsidRPr="006A737E">
        <w:rPr>
          <w:rFonts w:cs="Arial"/>
          <w:sz w:val="22"/>
          <w:szCs w:val="22"/>
          <w:lang w:val="de-DE"/>
        </w:rPr>
        <w:t>mikroRNAs</w:t>
      </w:r>
      <w:proofErr w:type="spellEnd"/>
      <w:r w:rsidRPr="006A737E">
        <w:rPr>
          <w:rFonts w:cs="Arial"/>
          <w:sz w:val="22"/>
          <w:szCs w:val="22"/>
          <w:lang w:val="de-DE"/>
        </w:rPr>
        <w:t xml:space="preserve"> sich im Zuge fortschreitender Osteoporose verändert und somit Aufschluss über die Krankheit und den weiteren Verlauf geben kann</w:t>
      </w:r>
      <w:r w:rsidRPr="006A737E">
        <w:rPr>
          <w:rStyle w:val="Funotenzeichen"/>
          <w:rFonts w:cs="Arial"/>
          <w:sz w:val="22"/>
          <w:szCs w:val="22"/>
        </w:rPr>
        <w:footnoteReference w:id="5"/>
      </w:r>
      <w:r w:rsidRPr="006A737E">
        <w:rPr>
          <w:rFonts w:cs="Arial"/>
          <w:sz w:val="22"/>
          <w:szCs w:val="22"/>
          <w:lang w:val="de-DE"/>
        </w:rPr>
        <w:t>.</w:t>
      </w:r>
    </w:p>
    <w:p w:rsidR="001220D2" w:rsidRPr="006A737E" w:rsidRDefault="001220D2" w:rsidP="001220D2">
      <w:pPr>
        <w:tabs>
          <w:tab w:val="left" w:pos="900"/>
        </w:tabs>
        <w:spacing w:after="120" w:line="312" w:lineRule="auto"/>
        <w:rPr>
          <w:rFonts w:cs="Arial"/>
          <w:sz w:val="22"/>
          <w:szCs w:val="22"/>
          <w:lang w:val="de-DE"/>
        </w:rPr>
      </w:pPr>
      <w:r w:rsidRPr="006A737E">
        <w:rPr>
          <w:rFonts w:cs="Arial"/>
          <w:sz w:val="22"/>
          <w:szCs w:val="22"/>
          <w:lang w:val="de-DE"/>
        </w:rPr>
        <w:t xml:space="preserve">Die </w:t>
      </w:r>
      <w:proofErr w:type="spellStart"/>
      <w:r w:rsidRPr="006A737E">
        <w:rPr>
          <w:rFonts w:cs="Arial"/>
          <w:sz w:val="22"/>
          <w:szCs w:val="22"/>
          <w:lang w:val="de-DE"/>
        </w:rPr>
        <w:t>TAmiRNA</w:t>
      </w:r>
      <w:proofErr w:type="spellEnd"/>
      <w:r w:rsidRPr="006A737E">
        <w:rPr>
          <w:rFonts w:cs="Arial"/>
          <w:sz w:val="22"/>
          <w:szCs w:val="22"/>
          <w:lang w:val="de-DE"/>
        </w:rPr>
        <w:t xml:space="preserve"> GmbH ist seit der Gründung 2013 auf die Messung von </w:t>
      </w:r>
      <w:proofErr w:type="spellStart"/>
      <w:r w:rsidRPr="006A737E">
        <w:rPr>
          <w:rFonts w:cs="Arial"/>
          <w:sz w:val="22"/>
          <w:szCs w:val="22"/>
          <w:lang w:val="de-DE"/>
        </w:rPr>
        <w:t>mikroRNAs</w:t>
      </w:r>
      <w:proofErr w:type="spellEnd"/>
      <w:r w:rsidRPr="006A737E">
        <w:rPr>
          <w:rFonts w:cs="Arial"/>
          <w:sz w:val="22"/>
          <w:szCs w:val="22"/>
          <w:lang w:val="de-DE"/>
        </w:rPr>
        <w:t xml:space="preserve"> in Blutproben und die Entwicklung neuer Biomarker (= messbare Parameter für biologische Prozesse, anhand derer diagnostische oder prognostische Aussagen getroffen werden können) spezialisiert. Im Rahmen von Förderprojekten der </w:t>
      </w:r>
      <w:proofErr w:type="spellStart"/>
      <w:r w:rsidRPr="006A737E">
        <w:rPr>
          <w:rFonts w:cs="Arial"/>
          <w:sz w:val="22"/>
          <w:szCs w:val="22"/>
          <w:lang w:val="de-DE"/>
        </w:rPr>
        <w:t>AWS</w:t>
      </w:r>
      <w:proofErr w:type="spellEnd"/>
      <w:r w:rsidRPr="006A737E">
        <w:rPr>
          <w:rFonts w:cs="Arial"/>
          <w:sz w:val="22"/>
          <w:szCs w:val="22"/>
          <w:lang w:val="de-DE"/>
        </w:rPr>
        <w:t xml:space="preserve"> (Austria Wirtschaftsservice) und FFG (Österreichische Forschungsfördergesellschaft) wurden in Zusammenarbeit mit Ärzten in Österreich (</w:t>
      </w:r>
      <w:proofErr w:type="spellStart"/>
      <w:r w:rsidRPr="006A737E">
        <w:rPr>
          <w:rFonts w:cs="Arial"/>
          <w:sz w:val="22"/>
          <w:szCs w:val="22"/>
          <w:lang w:val="de-DE"/>
        </w:rPr>
        <w:t>Vinforce</w:t>
      </w:r>
      <w:proofErr w:type="spellEnd"/>
      <w:r w:rsidRPr="006A737E">
        <w:rPr>
          <w:rFonts w:cs="Arial"/>
          <w:sz w:val="22"/>
          <w:szCs w:val="22"/>
          <w:lang w:val="de-DE"/>
        </w:rPr>
        <w:t xml:space="preserve">, Medizinischen Universität Wien und Graz) und (international) den USA (University </w:t>
      </w:r>
      <w:proofErr w:type="spellStart"/>
      <w:r w:rsidRPr="006A737E">
        <w:rPr>
          <w:rFonts w:cs="Arial"/>
          <w:sz w:val="22"/>
          <w:szCs w:val="22"/>
          <w:lang w:val="de-DE"/>
        </w:rPr>
        <w:t>of</w:t>
      </w:r>
      <w:proofErr w:type="spellEnd"/>
      <w:r w:rsidRPr="006A737E">
        <w:rPr>
          <w:rFonts w:cs="Arial"/>
          <w:sz w:val="22"/>
          <w:szCs w:val="22"/>
          <w:lang w:val="de-DE"/>
        </w:rPr>
        <w:t xml:space="preserve"> Sheffield, University </w:t>
      </w:r>
      <w:proofErr w:type="spellStart"/>
      <w:r w:rsidRPr="006A737E">
        <w:rPr>
          <w:rFonts w:cs="Arial"/>
          <w:sz w:val="22"/>
          <w:szCs w:val="22"/>
          <w:lang w:val="de-DE"/>
        </w:rPr>
        <w:t>of</w:t>
      </w:r>
      <w:proofErr w:type="spellEnd"/>
      <w:r w:rsidRPr="006A737E">
        <w:rPr>
          <w:rFonts w:cs="Arial"/>
          <w:sz w:val="22"/>
          <w:szCs w:val="22"/>
          <w:lang w:val="de-DE"/>
        </w:rPr>
        <w:t xml:space="preserve"> </w:t>
      </w:r>
      <w:proofErr w:type="spellStart"/>
      <w:r w:rsidRPr="006A737E">
        <w:rPr>
          <w:rFonts w:cs="Arial"/>
          <w:sz w:val="22"/>
          <w:szCs w:val="22"/>
          <w:lang w:val="de-DE"/>
        </w:rPr>
        <w:t>California</w:t>
      </w:r>
      <w:proofErr w:type="spellEnd"/>
      <w:r w:rsidRPr="006A737E">
        <w:rPr>
          <w:rFonts w:cs="Arial"/>
          <w:sz w:val="22"/>
          <w:szCs w:val="22"/>
          <w:lang w:val="de-DE"/>
        </w:rPr>
        <w:t xml:space="preserve"> San Francisco) mehrere Studien über die </w:t>
      </w:r>
      <w:proofErr w:type="spellStart"/>
      <w:r w:rsidRPr="006A737E">
        <w:rPr>
          <w:rFonts w:cs="Arial"/>
          <w:sz w:val="22"/>
          <w:szCs w:val="22"/>
          <w:lang w:val="de-DE"/>
        </w:rPr>
        <w:t>mikroRNA</w:t>
      </w:r>
      <w:proofErr w:type="spellEnd"/>
      <w:r w:rsidRPr="006A737E">
        <w:rPr>
          <w:rFonts w:cs="Arial"/>
          <w:sz w:val="22"/>
          <w:szCs w:val="22"/>
          <w:lang w:val="de-DE"/>
        </w:rPr>
        <w:t xml:space="preserve"> Expression in Blutproben von Osteoporose-Patientinnen durchgeführt und mit gesunden Kontrollen verglichen. </w:t>
      </w:r>
    </w:p>
    <w:p w:rsidR="001220D2" w:rsidRPr="006A737E" w:rsidRDefault="001220D2" w:rsidP="001220D2">
      <w:pPr>
        <w:autoSpaceDE w:val="0"/>
        <w:autoSpaceDN w:val="0"/>
        <w:adjustRightInd w:val="0"/>
        <w:spacing w:before="120" w:after="40" w:line="312" w:lineRule="auto"/>
        <w:rPr>
          <w:rFonts w:cs="Arial"/>
          <w:b/>
          <w:bCs/>
          <w:szCs w:val="22"/>
          <w:lang w:val="de-DE"/>
        </w:rPr>
      </w:pPr>
      <w:r w:rsidRPr="006A737E">
        <w:rPr>
          <w:rFonts w:cs="Arial"/>
          <w:b/>
          <w:bCs/>
          <w:szCs w:val="22"/>
          <w:lang w:val="de-DE"/>
        </w:rPr>
        <w:t xml:space="preserve">Test prognostiziert das persönliche Risiko für einen </w:t>
      </w:r>
      <w:proofErr w:type="spellStart"/>
      <w:r w:rsidRPr="006A737E">
        <w:rPr>
          <w:rFonts w:cs="Arial"/>
          <w:b/>
          <w:bCs/>
          <w:szCs w:val="22"/>
          <w:lang w:val="de-DE"/>
        </w:rPr>
        <w:t>osteoporotischen</w:t>
      </w:r>
      <w:proofErr w:type="spellEnd"/>
      <w:r w:rsidRPr="006A737E">
        <w:rPr>
          <w:rFonts w:cs="Arial"/>
          <w:b/>
          <w:bCs/>
          <w:szCs w:val="22"/>
          <w:lang w:val="de-DE"/>
        </w:rPr>
        <w:t xml:space="preserve"> Knochenbruch </w:t>
      </w:r>
    </w:p>
    <w:p w:rsidR="001220D2" w:rsidRPr="006A737E" w:rsidRDefault="001220D2" w:rsidP="001220D2">
      <w:pPr>
        <w:tabs>
          <w:tab w:val="left" w:pos="900"/>
        </w:tabs>
        <w:spacing w:after="120" w:line="312" w:lineRule="auto"/>
        <w:rPr>
          <w:rFonts w:cs="Arial"/>
          <w:sz w:val="22"/>
          <w:szCs w:val="22"/>
          <w:lang w:val="de-DE"/>
        </w:rPr>
      </w:pPr>
      <w:r w:rsidRPr="006A737E">
        <w:rPr>
          <w:rFonts w:cs="Arial"/>
          <w:sz w:val="22"/>
          <w:szCs w:val="22"/>
          <w:lang w:val="de-DE"/>
        </w:rPr>
        <w:t xml:space="preserve">Auf Basis der Datensätze von mehr als 500 Personen und insgesamt mehr als 380.000 </w:t>
      </w:r>
      <w:proofErr w:type="spellStart"/>
      <w:r w:rsidRPr="006A737E">
        <w:rPr>
          <w:rFonts w:cs="Arial"/>
          <w:sz w:val="22"/>
          <w:szCs w:val="22"/>
          <w:lang w:val="de-DE"/>
        </w:rPr>
        <w:t>Messpunkten</w:t>
      </w:r>
      <w:proofErr w:type="spellEnd"/>
      <w:r w:rsidRPr="006A737E">
        <w:rPr>
          <w:rFonts w:cs="Arial"/>
          <w:sz w:val="22"/>
          <w:szCs w:val="22"/>
          <w:lang w:val="de-DE"/>
        </w:rPr>
        <w:t xml:space="preserve"> konnten wir unter Verwendung von Verfahren aus dem Bereich der künstlichen Intelligenz (sog. „</w:t>
      </w:r>
      <w:proofErr w:type="spellStart"/>
      <w:r w:rsidRPr="006A737E">
        <w:rPr>
          <w:rFonts w:cs="Arial"/>
          <w:sz w:val="22"/>
          <w:szCs w:val="22"/>
          <w:lang w:val="de-DE"/>
        </w:rPr>
        <w:t>machine</w:t>
      </w:r>
      <w:proofErr w:type="spellEnd"/>
      <w:r w:rsidRPr="006A737E">
        <w:rPr>
          <w:rFonts w:cs="Arial"/>
          <w:sz w:val="22"/>
          <w:szCs w:val="22"/>
          <w:lang w:val="de-DE"/>
        </w:rPr>
        <w:t xml:space="preserve"> </w:t>
      </w:r>
      <w:proofErr w:type="spellStart"/>
      <w:r w:rsidRPr="006A737E">
        <w:rPr>
          <w:rFonts w:cs="Arial"/>
          <w:sz w:val="22"/>
          <w:szCs w:val="22"/>
          <w:lang w:val="de-DE"/>
        </w:rPr>
        <w:t>learning</w:t>
      </w:r>
      <w:proofErr w:type="spellEnd"/>
      <w:r w:rsidRPr="006A737E">
        <w:rPr>
          <w:rFonts w:cs="Arial"/>
          <w:sz w:val="22"/>
          <w:szCs w:val="22"/>
          <w:lang w:val="de-DE"/>
        </w:rPr>
        <w:t xml:space="preserve">“) eine Kombination von 10 </w:t>
      </w:r>
      <w:proofErr w:type="spellStart"/>
      <w:r w:rsidRPr="006A737E">
        <w:rPr>
          <w:rFonts w:cs="Arial"/>
          <w:sz w:val="22"/>
          <w:szCs w:val="22"/>
          <w:lang w:val="de-DE"/>
        </w:rPr>
        <w:t>mikroRNAs</w:t>
      </w:r>
      <w:proofErr w:type="spellEnd"/>
      <w:r w:rsidRPr="006A737E">
        <w:rPr>
          <w:rFonts w:cs="Arial"/>
          <w:sz w:val="22"/>
          <w:szCs w:val="22"/>
          <w:lang w:val="de-DE"/>
        </w:rPr>
        <w:t xml:space="preserve"> identifizieren, anhand derer nicht nur an Osteoporose erkrankte Menschen von gesunden unterschieden werden können, sondern auch eine genaue Aussage über das 3-Jahres-Risiko für Frakturen getroffen werden kann. Im Kern dieses Verfahrens steckt also ein Algorithmus, der die Information über die Konzentration von </w:t>
      </w:r>
      <w:proofErr w:type="spellStart"/>
      <w:r w:rsidRPr="006A737E">
        <w:rPr>
          <w:rFonts w:cs="Arial"/>
          <w:sz w:val="22"/>
          <w:szCs w:val="22"/>
          <w:lang w:val="de-DE"/>
        </w:rPr>
        <w:t>RNA</w:t>
      </w:r>
      <w:proofErr w:type="spellEnd"/>
      <w:r w:rsidRPr="006A737E">
        <w:rPr>
          <w:rFonts w:cs="Arial"/>
          <w:sz w:val="22"/>
          <w:szCs w:val="22"/>
          <w:lang w:val="de-DE"/>
        </w:rPr>
        <w:t>-Molekülen im Blut eines Menschen einliest und in einen Risikofaktor übersetzt. Die Tatsache, dass dieser Risikofaktor auf mehreren einzelnen Faktoren (</w:t>
      </w:r>
      <w:proofErr w:type="spellStart"/>
      <w:r w:rsidRPr="006A737E">
        <w:rPr>
          <w:rFonts w:cs="Arial"/>
          <w:sz w:val="22"/>
          <w:szCs w:val="22"/>
          <w:lang w:val="de-DE"/>
        </w:rPr>
        <w:t>mikroRNAs</w:t>
      </w:r>
      <w:proofErr w:type="spellEnd"/>
      <w:r w:rsidRPr="006A737E">
        <w:rPr>
          <w:rFonts w:cs="Arial"/>
          <w:sz w:val="22"/>
          <w:szCs w:val="22"/>
          <w:lang w:val="de-DE"/>
        </w:rPr>
        <w:t xml:space="preserve">) beruht, welche verschiedene Krankheitsprozesse und Organfunktionen reflektieren, erklärt, warum dieses Verfahren der Knochendichtemessung oder Mikrostrukturanalysen überlegen ist, wie wir in einer prospektiven Studie beobachtet haben. </w:t>
      </w:r>
    </w:p>
    <w:p w:rsidR="001220D2" w:rsidRPr="006A737E" w:rsidRDefault="001220D2" w:rsidP="001220D2">
      <w:pPr>
        <w:autoSpaceDE w:val="0"/>
        <w:autoSpaceDN w:val="0"/>
        <w:adjustRightInd w:val="0"/>
        <w:spacing w:before="120" w:after="40" w:line="312" w:lineRule="auto"/>
        <w:rPr>
          <w:rFonts w:cs="Arial"/>
          <w:b/>
          <w:bCs/>
          <w:szCs w:val="22"/>
          <w:lang w:val="de-DE"/>
        </w:rPr>
      </w:pPr>
      <w:r w:rsidRPr="006A737E">
        <w:rPr>
          <w:rFonts w:cs="Arial"/>
          <w:b/>
          <w:bCs/>
          <w:szCs w:val="22"/>
          <w:lang w:val="de-DE"/>
        </w:rPr>
        <w:t>Werden in Zukunft statt bildgebender molekularbiologische Verfahren in der Osteoporose-Diagnostik zum Einsatz kommen?</w:t>
      </w:r>
    </w:p>
    <w:p w:rsidR="001220D2" w:rsidRPr="006A737E" w:rsidRDefault="001220D2" w:rsidP="001220D2">
      <w:pPr>
        <w:tabs>
          <w:tab w:val="left" w:pos="900"/>
        </w:tabs>
        <w:spacing w:after="120" w:line="312" w:lineRule="auto"/>
        <w:rPr>
          <w:rFonts w:cs="Arial"/>
          <w:sz w:val="22"/>
          <w:szCs w:val="22"/>
          <w:lang w:val="de-DE"/>
        </w:rPr>
      </w:pPr>
      <w:r w:rsidRPr="006A737E">
        <w:rPr>
          <w:rFonts w:cs="Arial"/>
          <w:sz w:val="22"/>
          <w:szCs w:val="22"/>
          <w:lang w:val="de-DE"/>
        </w:rPr>
        <w:t xml:space="preserve">Der </w:t>
      </w:r>
      <w:proofErr w:type="spellStart"/>
      <w:r w:rsidRPr="006A737E">
        <w:rPr>
          <w:rFonts w:cs="Arial"/>
          <w:sz w:val="22"/>
          <w:szCs w:val="22"/>
          <w:lang w:val="de-DE"/>
        </w:rPr>
        <w:t>osteomiR</w:t>
      </w:r>
      <w:proofErr w:type="spellEnd"/>
      <w:r w:rsidRPr="006A737E">
        <w:rPr>
          <w:rFonts w:cs="Arial"/>
          <w:sz w:val="22"/>
          <w:szCs w:val="22"/>
          <w:lang w:val="de-DE"/>
        </w:rPr>
        <w:t xml:space="preserve">™ Test könnte somit eine Trendwende von bildgebenden zu molekularbiologischen Verfahren für die Diagnose und Prognose von Osteoporose und eine Abkehr von der Analyse einzelner Risikofaktoren hin zur personalisierten Diagnostik bedeuten. Eine von </w:t>
      </w:r>
      <w:proofErr w:type="spellStart"/>
      <w:r w:rsidRPr="006A737E">
        <w:rPr>
          <w:rFonts w:cs="Arial"/>
          <w:sz w:val="22"/>
          <w:szCs w:val="22"/>
          <w:lang w:val="de-DE"/>
        </w:rPr>
        <w:t>TAmiRNA</w:t>
      </w:r>
      <w:proofErr w:type="spellEnd"/>
      <w:r w:rsidRPr="006A737E">
        <w:rPr>
          <w:rFonts w:cs="Arial"/>
          <w:sz w:val="22"/>
          <w:szCs w:val="22"/>
          <w:lang w:val="de-DE"/>
        </w:rPr>
        <w:t xml:space="preserve"> in Zusammenarbeit mit Gesundheitsökonomen und </w:t>
      </w:r>
      <w:proofErr w:type="spellStart"/>
      <w:r w:rsidRPr="006A737E">
        <w:rPr>
          <w:rFonts w:cs="Arial"/>
          <w:sz w:val="22"/>
          <w:szCs w:val="22"/>
          <w:lang w:val="de-DE"/>
        </w:rPr>
        <w:t>Endokrinologen</w:t>
      </w:r>
      <w:proofErr w:type="spellEnd"/>
      <w:r w:rsidRPr="006A737E">
        <w:rPr>
          <w:rFonts w:cs="Arial"/>
          <w:sz w:val="22"/>
          <w:szCs w:val="22"/>
          <w:lang w:val="de-DE"/>
        </w:rPr>
        <w:t xml:space="preserve"> veröffentlichte Studie zeigte sehr deutlich, dass die erreichte Verbesserung der Prognose eine Reduktion von Frakturen in Österreich bedeuten kann, während die Kosten trotz erhöhter Vorsorgeaktivitäten sinken werden – ein zusätzlicher positiver Effekt, </w:t>
      </w:r>
      <w:r w:rsidRPr="006A737E">
        <w:rPr>
          <w:rFonts w:cs="Arial"/>
          <w:sz w:val="22"/>
          <w:szCs w:val="22"/>
          <w:lang w:val="de-DE"/>
        </w:rPr>
        <w:lastRenderedPageBreak/>
        <w:t xml:space="preserve">der auf die Reduktion der kostenintensiven Spitalsaufenthalte in Folge von </w:t>
      </w:r>
      <w:proofErr w:type="spellStart"/>
      <w:r w:rsidRPr="006A737E">
        <w:rPr>
          <w:rFonts w:cs="Arial"/>
          <w:sz w:val="22"/>
          <w:szCs w:val="22"/>
          <w:lang w:val="de-DE"/>
        </w:rPr>
        <w:t>osteoporotischen</w:t>
      </w:r>
      <w:proofErr w:type="spellEnd"/>
      <w:r w:rsidRPr="006A737E">
        <w:rPr>
          <w:rFonts w:cs="Arial"/>
          <w:sz w:val="22"/>
          <w:szCs w:val="22"/>
          <w:lang w:val="de-DE"/>
        </w:rPr>
        <w:t xml:space="preserve"> Frakturen zurückzuführen ist</w:t>
      </w:r>
      <w:r w:rsidRPr="006A737E">
        <w:rPr>
          <w:rStyle w:val="Funotenzeichen"/>
          <w:rFonts w:cs="Arial"/>
          <w:sz w:val="22"/>
          <w:szCs w:val="22"/>
        </w:rPr>
        <w:footnoteReference w:id="6"/>
      </w:r>
      <w:r w:rsidRPr="006A737E">
        <w:rPr>
          <w:rFonts w:cs="Arial"/>
          <w:sz w:val="22"/>
          <w:szCs w:val="22"/>
          <w:lang w:val="de-DE"/>
        </w:rPr>
        <w:t xml:space="preserve">. </w:t>
      </w:r>
    </w:p>
    <w:p w:rsidR="001220D2" w:rsidRPr="006A737E" w:rsidRDefault="001220D2" w:rsidP="001220D2">
      <w:pPr>
        <w:autoSpaceDE w:val="0"/>
        <w:autoSpaceDN w:val="0"/>
        <w:adjustRightInd w:val="0"/>
        <w:spacing w:before="120" w:after="40" w:line="312" w:lineRule="auto"/>
        <w:rPr>
          <w:rFonts w:cs="Arial"/>
          <w:b/>
          <w:bCs/>
          <w:szCs w:val="22"/>
          <w:lang w:val="de-DE"/>
        </w:rPr>
      </w:pPr>
      <w:r w:rsidRPr="006A737E">
        <w:rPr>
          <w:rFonts w:cs="Arial"/>
          <w:b/>
          <w:bCs/>
          <w:szCs w:val="22"/>
          <w:lang w:val="de-DE"/>
        </w:rPr>
        <w:t>Ziele für die Zukunft</w:t>
      </w:r>
    </w:p>
    <w:p w:rsidR="001220D2" w:rsidRPr="006A737E" w:rsidRDefault="001220D2" w:rsidP="001220D2">
      <w:pPr>
        <w:tabs>
          <w:tab w:val="left" w:pos="900"/>
        </w:tabs>
        <w:spacing w:after="120" w:line="312" w:lineRule="auto"/>
        <w:rPr>
          <w:rFonts w:cs="Arial"/>
          <w:sz w:val="22"/>
          <w:szCs w:val="22"/>
          <w:lang w:val="de-DE"/>
        </w:rPr>
      </w:pPr>
      <w:r w:rsidRPr="006A737E">
        <w:rPr>
          <w:rFonts w:cs="Arial"/>
          <w:sz w:val="22"/>
          <w:szCs w:val="22"/>
          <w:lang w:val="de-DE"/>
        </w:rPr>
        <w:t xml:space="preserve">Derzeit arbeiten die Forscher der </w:t>
      </w:r>
      <w:proofErr w:type="spellStart"/>
      <w:r w:rsidRPr="006A737E">
        <w:rPr>
          <w:rFonts w:cs="Arial"/>
          <w:sz w:val="22"/>
          <w:szCs w:val="22"/>
          <w:lang w:val="de-DE"/>
        </w:rPr>
        <w:t>TAmiRNA</w:t>
      </w:r>
      <w:proofErr w:type="spellEnd"/>
      <w:r w:rsidRPr="006A737E">
        <w:rPr>
          <w:rFonts w:cs="Arial"/>
          <w:sz w:val="22"/>
          <w:szCs w:val="22"/>
          <w:lang w:val="de-DE"/>
        </w:rPr>
        <w:t xml:space="preserve"> GmbH zum einen an der Herstellung eines für die Massenfertigung geeigneten Prototyps des </w:t>
      </w:r>
      <w:proofErr w:type="spellStart"/>
      <w:r w:rsidRPr="006A737E">
        <w:rPr>
          <w:rFonts w:cs="Arial"/>
          <w:sz w:val="22"/>
          <w:szCs w:val="22"/>
          <w:lang w:val="de-DE"/>
        </w:rPr>
        <w:t>osteomiR</w:t>
      </w:r>
      <w:proofErr w:type="spellEnd"/>
      <w:r w:rsidRPr="006A737E">
        <w:rPr>
          <w:rFonts w:cs="Arial"/>
          <w:sz w:val="22"/>
          <w:szCs w:val="22"/>
          <w:lang w:val="de-DE"/>
        </w:rPr>
        <w:t xml:space="preserve">™ Tests, der in klinischen Studien einer Leistungsbewertungsprüfung unterzogen wird, um die in der EU gesetzlich vorgeschriebene Zulassung für medizinische Anwendungen an Patienten zu erreichen. Zusätzlich werden in Zusammenarbeit mit Forschern des Ludwig Boltzmann Instituts für Experimentelle und Klinische Traumatologie, des Ludwig Boltzmann Instituts für Osteologie, und der Medizinischen Universität Wien die biologischen Funktionen und Wirkmechanismen der </w:t>
      </w:r>
      <w:proofErr w:type="spellStart"/>
      <w:r w:rsidRPr="006A737E">
        <w:rPr>
          <w:rFonts w:cs="Arial"/>
          <w:sz w:val="22"/>
          <w:szCs w:val="22"/>
          <w:lang w:val="de-DE"/>
        </w:rPr>
        <w:t>osteomiRs</w:t>
      </w:r>
      <w:proofErr w:type="spellEnd"/>
      <w:r w:rsidRPr="006A737E">
        <w:rPr>
          <w:rFonts w:cs="Arial"/>
          <w:sz w:val="22"/>
          <w:szCs w:val="22"/>
          <w:lang w:val="de-DE"/>
        </w:rPr>
        <w:t xml:space="preserve"> untersucht, unter anderem mit dem Ziel, neue Wirkstoffkandidaten zu identifizieren. </w:t>
      </w:r>
    </w:p>
    <w:p w:rsidR="001220D2" w:rsidRPr="000C70F8" w:rsidRDefault="001220D2" w:rsidP="001220D2">
      <w:pPr>
        <w:rPr>
          <w:rFonts w:cs="Arial"/>
          <w:i/>
          <w:sz w:val="18"/>
        </w:rPr>
      </w:pPr>
    </w:p>
    <w:p w:rsidR="001220D2" w:rsidRPr="000C70F8" w:rsidRDefault="001220D2" w:rsidP="001220D2">
      <w:pPr>
        <w:rPr>
          <w:rFonts w:cs="Arial"/>
          <w:i/>
          <w:sz w:val="18"/>
        </w:rPr>
      </w:pPr>
    </w:p>
    <w:p w:rsidR="001220D2" w:rsidRPr="000C70F8" w:rsidRDefault="001220D2" w:rsidP="001220D2">
      <w:pPr>
        <w:rPr>
          <w:rFonts w:cs="Arial"/>
          <w:sz w:val="20"/>
        </w:rPr>
      </w:pPr>
      <w:proofErr w:type="gramStart"/>
      <w:r w:rsidRPr="000C70F8">
        <w:rPr>
          <w:rFonts w:cs="Arial"/>
          <w:i/>
          <w:sz w:val="18"/>
        </w:rPr>
        <w:t xml:space="preserve">*Aus </w:t>
      </w:r>
      <w:proofErr w:type="spellStart"/>
      <w:r w:rsidRPr="000C70F8">
        <w:rPr>
          <w:rFonts w:cs="Arial"/>
          <w:i/>
          <w:sz w:val="18"/>
        </w:rPr>
        <w:t>Gründen</w:t>
      </w:r>
      <w:proofErr w:type="spellEnd"/>
      <w:r w:rsidRPr="000C70F8">
        <w:rPr>
          <w:rFonts w:cs="Arial"/>
          <w:i/>
          <w:sz w:val="18"/>
        </w:rPr>
        <w:t xml:space="preserve"> </w:t>
      </w:r>
      <w:proofErr w:type="spellStart"/>
      <w:r w:rsidRPr="000C70F8">
        <w:rPr>
          <w:rFonts w:cs="Arial"/>
          <w:i/>
          <w:sz w:val="18"/>
        </w:rPr>
        <w:t>der</w:t>
      </w:r>
      <w:proofErr w:type="spellEnd"/>
      <w:r w:rsidRPr="000C70F8">
        <w:rPr>
          <w:rFonts w:cs="Arial"/>
          <w:i/>
          <w:sz w:val="18"/>
        </w:rPr>
        <w:t xml:space="preserve"> </w:t>
      </w:r>
      <w:proofErr w:type="spellStart"/>
      <w:r w:rsidRPr="000C70F8">
        <w:rPr>
          <w:rFonts w:cs="Arial"/>
          <w:i/>
          <w:sz w:val="18"/>
        </w:rPr>
        <w:t>besseren</w:t>
      </w:r>
      <w:proofErr w:type="spellEnd"/>
      <w:r w:rsidRPr="000C70F8">
        <w:rPr>
          <w:rFonts w:cs="Arial"/>
          <w:i/>
          <w:sz w:val="18"/>
        </w:rPr>
        <w:t xml:space="preserve"> </w:t>
      </w:r>
      <w:proofErr w:type="spellStart"/>
      <w:r w:rsidRPr="000C70F8">
        <w:rPr>
          <w:rFonts w:cs="Arial"/>
          <w:i/>
          <w:sz w:val="18"/>
        </w:rPr>
        <w:t>Lesbarkeit</w:t>
      </w:r>
      <w:proofErr w:type="spellEnd"/>
      <w:r w:rsidRPr="000C70F8">
        <w:rPr>
          <w:rFonts w:cs="Arial"/>
          <w:i/>
          <w:sz w:val="18"/>
        </w:rPr>
        <w:t xml:space="preserve"> </w:t>
      </w:r>
      <w:proofErr w:type="spellStart"/>
      <w:r w:rsidRPr="000C70F8">
        <w:rPr>
          <w:rFonts w:cs="Arial"/>
          <w:i/>
          <w:sz w:val="18"/>
        </w:rPr>
        <w:t>wurde</w:t>
      </w:r>
      <w:proofErr w:type="spellEnd"/>
      <w:r w:rsidRPr="000C70F8">
        <w:rPr>
          <w:rFonts w:cs="Arial"/>
          <w:i/>
          <w:sz w:val="18"/>
        </w:rPr>
        <w:t xml:space="preserve"> </w:t>
      </w:r>
      <w:proofErr w:type="spellStart"/>
      <w:r w:rsidRPr="000C70F8">
        <w:rPr>
          <w:rFonts w:cs="Arial"/>
          <w:i/>
          <w:sz w:val="18"/>
        </w:rPr>
        <w:t>im</w:t>
      </w:r>
      <w:proofErr w:type="spellEnd"/>
      <w:r w:rsidRPr="000C70F8">
        <w:rPr>
          <w:rFonts w:cs="Arial"/>
          <w:i/>
          <w:sz w:val="18"/>
        </w:rPr>
        <w:t xml:space="preserve"> Text auf </w:t>
      </w:r>
      <w:proofErr w:type="spellStart"/>
      <w:r w:rsidRPr="000C70F8">
        <w:rPr>
          <w:rFonts w:cs="Arial"/>
          <w:i/>
          <w:sz w:val="18"/>
        </w:rPr>
        <w:t>eine</w:t>
      </w:r>
      <w:proofErr w:type="spellEnd"/>
      <w:r w:rsidRPr="000C70F8">
        <w:rPr>
          <w:rFonts w:cs="Arial"/>
          <w:i/>
          <w:sz w:val="18"/>
        </w:rPr>
        <w:t xml:space="preserve"> </w:t>
      </w:r>
      <w:proofErr w:type="spellStart"/>
      <w:r w:rsidRPr="000C70F8">
        <w:rPr>
          <w:rFonts w:cs="Arial"/>
          <w:i/>
          <w:sz w:val="18"/>
        </w:rPr>
        <w:t>gendergerechte</w:t>
      </w:r>
      <w:proofErr w:type="spellEnd"/>
      <w:r w:rsidRPr="000C70F8">
        <w:rPr>
          <w:rFonts w:cs="Arial"/>
          <w:i/>
          <w:sz w:val="18"/>
        </w:rPr>
        <w:t xml:space="preserve"> </w:t>
      </w:r>
      <w:proofErr w:type="spellStart"/>
      <w:r w:rsidRPr="000C70F8">
        <w:rPr>
          <w:rFonts w:cs="Arial"/>
          <w:i/>
          <w:sz w:val="18"/>
        </w:rPr>
        <w:t>Schreibweise</w:t>
      </w:r>
      <w:proofErr w:type="spellEnd"/>
      <w:r w:rsidRPr="000C70F8">
        <w:rPr>
          <w:rFonts w:cs="Arial"/>
          <w:i/>
          <w:sz w:val="18"/>
        </w:rPr>
        <w:t xml:space="preserve"> </w:t>
      </w:r>
      <w:proofErr w:type="spellStart"/>
      <w:r w:rsidRPr="000C70F8">
        <w:rPr>
          <w:rFonts w:cs="Arial"/>
          <w:i/>
          <w:sz w:val="18"/>
        </w:rPr>
        <w:t>verzichtet</w:t>
      </w:r>
      <w:proofErr w:type="spellEnd"/>
      <w:r w:rsidRPr="000C70F8">
        <w:rPr>
          <w:rFonts w:cs="Arial"/>
          <w:i/>
          <w:sz w:val="18"/>
        </w:rPr>
        <w:t>.</w:t>
      </w:r>
      <w:proofErr w:type="gramEnd"/>
      <w:r w:rsidRPr="000C70F8">
        <w:rPr>
          <w:rFonts w:cs="Arial"/>
          <w:i/>
          <w:sz w:val="18"/>
        </w:rPr>
        <w:t xml:space="preserve"> </w:t>
      </w:r>
      <w:proofErr w:type="spellStart"/>
      <w:r w:rsidRPr="000C70F8">
        <w:rPr>
          <w:rFonts w:cs="Arial"/>
          <w:i/>
          <w:sz w:val="18"/>
        </w:rPr>
        <w:t>Alle</w:t>
      </w:r>
      <w:proofErr w:type="spellEnd"/>
      <w:r w:rsidRPr="000C70F8">
        <w:rPr>
          <w:rFonts w:cs="Arial"/>
          <w:i/>
          <w:sz w:val="18"/>
        </w:rPr>
        <w:t xml:space="preserve"> </w:t>
      </w:r>
      <w:proofErr w:type="spellStart"/>
      <w:r w:rsidRPr="000C70F8">
        <w:rPr>
          <w:rFonts w:cs="Arial"/>
          <w:i/>
          <w:sz w:val="18"/>
        </w:rPr>
        <w:t>Bezeichnungen</w:t>
      </w:r>
      <w:proofErr w:type="spellEnd"/>
      <w:r w:rsidRPr="000C70F8">
        <w:rPr>
          <w:rFonts w:cs="Arial"/>
          <w:i/>
          <w:sz w:val="18"/>
        </w:rPr>
        <w:t xml:space="preserve"> </w:t>
      </w:r>
      <w:proofErr w:type="spellStart"/>
      <w:r w:rsidRPr="000C70F8">
        <w:rPr>
          <w:rFonts w:cs="Arial"/>
          <w:i/>
          <w:sz w:val="18"/>
        </w:rPr>
        <w:t>gelten</w:t>
      </w:r>
      <w:proofErr w:type="spellEnd"/>
      <w:r w:rsidRPr="000C70F8">
        <w:rPr>
          <w:rFonts w:cs="Arial"/>
          <w:i/>
          <w:sz w:val="18"/>
        </w:rPr>
        <w:t xml:space="preserve"> </w:t>
      </w:r>
      <w:proofErr w:type="spellStart"/>
      <w:r w:rsidRPr="000C70F8">
        <w:rPr>
          <w:rFonts w:cs="Arial"/>
          <w:i/>
          <w:sz w:val="18"/>
        </w:rPr>
        <w:t>sowohl</w:t>
      </w:r>
      <w:proofErr w:type="spellEnd"/>
      <w:r w:rsidRPr="000C70F8">
        <w:rPr>
          <w:rFonts w:cs="Arial"/>
          <w:i/>
          <w:sz w:val="18"/>
        </w:rPr>
        <w:t xml:space="preserve"> für Frauen </w:t>
      </w:r>
      <w:proofErr w:type="spellStart"/>
      <w:proofErr w:type="gramStart"/>
      <w:r w:rsidRPr="000C70F8">
        <w:rPr>
          <w:rFonts w:cs="Arial"/>
          <w:i/>
          <w:sz w:val="18"/>
        </w:rPr>
        <w:t>als</w:t>
      </w:r>
      <w:proofErr w:type="spellEnd"/>
      <w:proofErr w:type="gramEnd"/>
      <w:r w:rsidRPr="000C70F8">
        <w:rPr>
          <w:rFonts w:cs="Arial"/>
          <w:i/>
          <w:sz w:val="18"/>
        </w:rPr>
        <w:t xml:space="preserve"> </w:t>
      </w:r>
      <w:proofErr w:type="spellStart"/>
      <w:r w:rsidRPr="000C70F8">
        <w:rPr>
          <w:rFonts w:cs="Arial"/>
          <w:i/>
          <w:sz w:val="18"/>
        </w:rPr>
        <w:t>auch</w:t>
      </w:r>
      <w:proofErr w:type="spellEnd"/>
      <w:r w:rsidRPr="000C70F8">
        <w:rPr>
          <w:rFonts w:cs="Arial"/>
          <w:i/>
          <w:sz w:val="18"/>
        </w:rPr>
        <w:t xml:space="preserve"> für </w:t>
      </w:r>
      <w:proofErr w:type="spellStart"/>
      <w:r w:rsidRPr="000C70F8">
        <w:rPr>
          <w:rFonts w:cs="Arial"/>
          <w:i/>
          <w:sz w:val="18"/>
        </w:rPr>
        <w:t>Männer</w:t>
      </w:r>
      <w:proofErr w:type="spellEnd"/>
      <w:r w:rsidRPr="000C70F8">
        <w:rPr>
          <w:rFonts w:cs="Arial"/>
          <w:i/>
          <w:sz w:val="20"/>
        </w:rPr>
        <w:t>.</w:t>
      </w:r>
    </w:p>
    <w:p w:rsidR="001220D2" w:rsidRPr="000C70F8" w:rsidRDefault="001220D2" w:rsidP="001220D2">
      <w:pPr>
        <w:spacing w:after="120" w:line="312" w:lineRule="auto"/>
        <w:rPr>
          <w:rFonts w:cs="Arial"/>
          <w:b/>
          <w:i/>
        </w:rPr>
      </w:pPr>
    </w:p>
    <w:p w:rsidR="001220D2" w:rsidRPr="00492BDC" w:rsidRDefault="001220D2" w:rsidP="001220D2">
      <w:pPr>
        <w:spacing w:line="288" w:lineRule="auto"/>
        <w:rPr>
          <w:rFonts w:cs="Arial"/>
          <w:b/>
          <w:lang w:val="de-DE"/>
        </w:rPr>
      </w:pPr>
      <w:r w:rsidRPr="00492BDC">
        <w:rPr>
          <w:rFonts w:cs="Arial"/>
          <w:b/>
          <w:lang w:val="de-DE"/>
        </w:rPr>
        <w:t>Kontakt für Journalisten-Rückfragen</w:t>
      </w:r>
    </w:p>
    <w:p w:rsidR="001220D2" w:rsidRPr="00492BDC" w:rsidRDefault="001220D2" w:rsidP="001220D2">
      <w:pPr>
        <w:spacing w:line="288" w:lineRule="auto"/>
        <w:rPr>
          <w:rFonts w:cs="Arial"/>
          <w:b/>
          <w:i/>
          <w:u w:val="single"/>
        </w:rPr>
      </w:pPr>
      <w:r w:rsidRPr="00492BDC">
        <w:rPr>
          <w:rFonts w:cs="Arial"/>
          <w:b/>
          <w:i/>
          <w:u w:val="single"/>
        </w:rPr>
        <w:t>Dr. Matthias Hackl</w:t>
      </w:r>
    </w:p>
    <w:p w:rsidR="001220D2" w:rsidRPr="00492BDC" w:rsidRDefault="001220D2" w:rsidP="001220D2">
      <w:pPr>
        <w:spacing w:line="288" w:lineRule="auto"/>
        <w:rPr>
          <w:rFonts w:cs="Arial"/>
          <w:b/>
          <w:i/>
          <w:lang w:val="de-DE"/>
        </w:rPr>
      </w:pPr>
      <w:r w:rsidRPr="00492BDC">
        <w:rPr>
          <w:rFonts w:cs="Arial"/>
          <w:b/>
          <w:i/>
          <w:lang w:val="de-DE"/>
        </w:rPr>
        <w:t xml:space="preserve">Geschäftsführer </w:t>
      </w:r>
      <w:proofErr w:type="spellStart"/>
      <w:r w:rsidRPr="00492BDC">
        <w:rPr>
          <w:rFonts w:cs="Arial"/>
          <w:b/>
          <w:i/>
          <w:lang w:val="de-DE"/>
        </w:rPr>
        <w:t>TAmiRNA</w:t>
      </w:r>
      <w:proofErr w:type="spellEnd"/>
      <w:r w:rsidRPr="00492BDC">
        <w:rPr>
          <w:rFonts w:cs="Arial"/>
          <w:b/>
          <w:i/>
          <w:lang w:val="de-DE"/>
        </w:rPr>
        <w:t xml:space="preserve"> GmbH </w:t>
      </w:r>
    </w:p>
    <w:p w:rsidR="001220D2" w:rsidRPr="00492BDC" w:rsidRDefault="001220D2" w:rsidP="001220D2">
      <w:pPr>
        <w:autoSpaceDE w:val="0"/>
        <w:autoSpaceDN w:val="0"/>
        <w:adjustRightInd w:val="0"/>
        <w:rPr>
          <w:rFonts w:cs="Arial"/>
          <w:lang w:val="de-DE"/>
        </w:rPr>
      </w:pPr>
      <w:r w:rsidRPr="00492BDC">
        <w:rPr>
          <w:rFonts w:cs="Arial"/>
          <w:lang w:val="de-DE"/>
        </w:rPr>
        <w:sym w:font="Wingdings" w:char="F028"/>
      </w:r>
      <w:r w:rsidRPr="00492BDC">
        <w:rPr>
          <w:rFonts w:cs="Arial"/>
          <w:lang w:val="de-DE"/>
        </w:rPr>
        <w:t>: + +43 (0) 660 420 5856</w:t>
      </w:r>
    </w:p>
    <w:p w:rsidR="001220D2" w:rsidRPr="00492BDC" w:rsidRDefault="001220D2" w:rsidP="001220D2">
      <w:pPr>
        <w:autoSpaceDE w:val="0"/>
        <w:autoSpaceDN w:val="0"/>
        <w:adjustRightInd w:val="0"/>
        <w:rPr>
          <w:rFonts w:cs="Arial"/>
          <w:lang w:val="de-DE"/>
        </w:rPr>
      </w:pPr>
      <w:r w:rsidRPr="00492BDC">
        <w:rPr>
          <w:rFonts w:cs="Arial"/>
          <w:lang w:val="de-DE"/>
        </w:rPr>
        <w:t xml:space="preserve">E-Mail: office@tamirna.com </w:t>
      </w:r>
    </w:p>
    <w:p w:rsidR="001220D2" w:rsidRPr="00492BDC" w:rsidRDefault="001220D2" w:rsidP="001220D2">
      <w:pPr>
        <w:autoSpaceDE w:val="0"/>
        <w:autoSpaceDN w:val="0"/>
        <w:adjustRightInd w:val="0"/>
        <w:rPr>
          <w:rFonts w:cs="Arial"/>
          <w:lang w:val="de-DE"/>
        </w:rPr>
      </w:pPr>
      <w:proofErr w:type="spellStart"/>
      <w:r w:rsidRPr="00492BDC">
        <w:rPr>
          <w:rFonts w:cs="Arial"/>
          <w:lang w:val="de-DE"/>
        </w:rPr>
        <w:t>Muthgasse</w:t>
      </w:r>
      <w:proofErr w:type="spellEnd"/>
      <w:r w:rsidRPr="00492BDC">
        <w:rPr>
          <w:rFonts w:cs="Arial"/>
          <w:lang w:val="de-DE"/>
        </w:rPr>
        <w:t xml:space="preserve"> 18</w:t>
      </w:r>
      <w:r w:rsidRPr="00492BDC">
        <w:rPr>
          <w:rFonts w:cs="Arial"/>
          <w:lang w:val="de-DE"/>
        </w:rPr>
        <w:br/>
        <w:t>1190 Wien</w:t>
      </w:r>
    </w:p>
    <w:p w:rsidR="001220D2" w:rsidRPr="00492BDC" w:rsidRDefault="001220D2" w:rsidP="001220D2">
      <w:pPr>
        <w:autoSpaceDE w:val="0"/>
        <w:autoSpaceDN w:val="0"/>
        <w:adjustRightInd w:val="0"/>
        <w:rPr>
          <w:rFonts w:cs="Arial"/>
          <w:lang w:val="de-DE"/>
        </w:rPr>
      </w:pPr>
      <w:r w:rsidRPr="00492BDC">
        <w:rPr>
          <w:rFonts w:cs="Arial"/>
          <w:lang w:val="de-DE"/>
        </w:rPr>
        <w:t>www.tamirna.com</w:t>
      </w:r>
    </w:p>
    <w:p w:rsidR="001220D2" w:rsidRPr="00492BDC" w:rsidRDefault="001220D2" w:rsidP="001220D2">
      <w:pPr>
        <w:spacing w:line="312" w:lineRule="auto"/>
        <w:rPr>
          <w:rFonts w:cs="Arial"/>
        </w:rPr>
      </w:pPr>
    </w:p>
    <w:p w:rsidR="001220D2" w:rsidRPr="000C70F8" w:rsidRDefault="001220D2" w:rsidP="001220D2">
      <w:pPr>
        <w:rPr>
          <w:rFonts w:cs="Arial"/>
          <w:sz w:val="16"/>
        </w:rPr>
      </w:pPr>
    </w:p>
    <w:p w:rsidR="001220D2" w:rsidRPr="000C70F8" w:rsidRDefault="001220D2" w:rsidP="001220D2">
      <w:pPr>
        <w:rPr>
          <w:rFonts w:cs="Arial"/>
          <w:sz w:val="16"/>
          <w:szCs w:val="16"/>
        </w:rPr>
      </w:pPr>
      <w:r w:rsidRPr="000C70F8">
        <w:rPr>
          <w:rFonts w:cs="Arial"/>
          <w:sz w:val="16"/>
          <w:szCs w:val="16"/>
        </w:rPr>
        <w:t>AT-C-NPS-0918-068233</w:t>
      </w:r>
    </w:p>
    <w:p w:rsidR="001220D2" w:rsidRPr="000C70F8" w:rsidRDefault="001220D2" w:rsidP="001220D2">
      <w:pPr>
        <w:rPr>
          <w:rFonts w:cs="Arial"/>
          <w:sz w:val="16"/>
        </w:rPr>
      </w:pPr>
    </w:p>
    <w:p w:rsidR="001220D2" w:rsidRPr="000C70F8" w:rsidRDefault="001220D2" w:rsidP="001220D2">
      <w:pPr>
        <w:rPr>
          <w:rFonts w:cs="Arial"/>
          <w:sz w:val="16"/>
        </w:rPr>
      </w:pPr>
    </w:p>
    <w:p w:rsidR="00E33AC5" w:rsidRPr="001220D2" w:rsidRDefault="00E33AC5" w:rsidP="001220D2"/>
    <w:sectPr w:rsidR="00E33AC5" w:rsidRPr="001220D2" w:rsidSect="003255ED">
      <w:headerReference w:type="default" r:id="rId8"/>
      <w:footerReference w:type="even" r:id="rId9"/>
      <w:footerReference w:type="default" r:id="rId10"/>
      <w:endnotePr>
        <w:numFmt w:val="decimal"/>
      </w:endnotePr>
      <w:pgSz w:w="11906" w:h="16838"/>
      <w:pgMar w:top="1417" w:right="1417" w:bottom="1134" w:left="1417"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75F5DD" w15:done="0"/>
  <w15:commentEx w15:paraId="6365FFB7" w15:done="0"/>
  <w15:commentEx w15:paraId="1EA3241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7A0" w:rsidRDefault="001347A0" w:rsidP="00801486">
      <w:r>
        <w:separator/>
      </w:r>
    </w:p>
  </w:endnote>
  <w:endnote w:type="continuationSeparator" w:id="0">
    <w:p w:rsidR="001347A0" w:rsidRDefault="001347A0"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6C" w:rsidRDefault="002E0256" w:rsidP="002910F3">
    <w:pPr>
      <w:pStyle w:val="Fuzeile"/>
      <w:framePr w:wrap="around" w:vAnchor="text" w:hAnchor="margin" w:xAlign="right" w:y="1"/>
      <w:rPr>
        <w:rStyle w:val="Seitenzahl"/>
      </w:rPr>
    </w:pPr>
    <w:r>
      <w:rPr>
        <w:rStyle w:val="Seitenzahl"/>
      </w:rPr>
      <w:fldChar w:fldCharType="begin"/>
    </w:r>
    <w:r w:rsidR="00BE006C">
      <w:rPr>
        <w:rStyle w:val="Seitenzahl"/>
      </w:rPr>
      <w:instrText xml:space="preserve">PAGE  </w:instrText>
    </w:r>
    <w:r>
      <w:rPr>
        <w:rStyle w:val="Seitenzahl"/>
      </w:rPr>
      <w:fldChar w:fldCharType="end"/>
    </w:r>
  </w:p>
  <w:p w:rsidR="00BE006C" w:rsidRDefault="00BE006C"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06C" w:rsidRPr="00B72242" w:rsidRDefault="002E0256" w:rsidP="005A5280">
    <w:pPr>
      <w:pStyle w:val="Fuzeile"/>
      <w:framePr w:wrap="around" w:vAnchor="text" w:hAnchor="page" w:x="10651" w:y="337"/>
      <w:rPr>
        <w:rStyle w:val="Seitenzahl"/>
        <w:sz w:val="18"/>
        <w:szCs w:val="18"/>
      </w:rPr>
    </w:pPr>
    <w:r w:rsidRPr="00B72242">
      <w:rPr>
        <w:rStyle w:val="Seitenzahl"/>
        <w:sz w:val="18"/>
        <w:szCs w:val="18"/>
      </w:rPr>
      <w:fldChar w:fldCharType="begin"/>
    </w:r>
    <w:r w:rsidR="00BE006C" w:rsidRPr="00B72242">
      <w:rPr>
        <w:rStyle w:val="Seitenzahl"/>
        <w:sz w:val="18"/>
        <w:szCs w:val="18"/>
      </w:rPr>
      <w:instrText xml:space="preserve">PAGE  </w:instrText>
    </w:r>
    <w:r w:rsidRPr="00B72242">
      <w:rPr>
        <w:rStyle w:val="Seitenzahl"/>
        <w:sz w:val="18"/>
        <w:szCs w:val="18"/>
      </w:rPr>
      <w:fldChar w:fldCharType="separate"/>
    </w:r>
    <w:r w:rsidR="006A737E">
      <w:rPr>
        <w:rStyle w:val="Seitenzahl"/>
        <w:noProof/>
        <w:sz w:val="18"/>
        <w:szCs w:val="18"/>
      </w:rPr>
      <w:t>4</w:t>
    </w:r>
    <w:r w:rsidRPr="00B72242">
      <w:rPr>
        <w:rStyle w:val="Seitenzahl"/>
        <w:sz w:val="18"/>
        <w:szCs w:val="18"/>
      </w:rPr>
      <w:fldChar w:fldCharType="end"/>
    </w:r>
  </w:p>
  <w:p w:rsidR="00BE006C" w:rsidRPr="00801486" w:rsidRDefault="00BE006C" w:rsidP="00055CDE">
    <w:pPr>
      <w:autoSpaceDE w:val="0"/>
      <w:autoSpaceDN w:val="0"/>
      <w:adjustRightInd w:val="0"/>
      <w:spacing w:before="360"/>
      <w:rPr>
        <w:rFonts w:cs="Arial"/>
        <w:i/>
        <w:color w:val="808080"/>
        <w:sz w:val="18"/>
        <w:szCs w:val="18"/>
        <w:lang w:val="de-DE"/>
      </w:rPr>
    </w:pPr>
    <w:r>
      <w:rPr>
        <w:rFonts w:cs="Arial"/>
        <w:i/>
        <w:color w:val="808080"/>
        <w:sz w:val="18"/>
        <w:szCs w:val="18"/>
        <w:lang w:val="de-DE"/>
      </w:rPr>
      <w:t>Amgen Press Academy</w:t>
    </w:r>
    <w:r w:rsidRPr="00801486">
      <w:rPr>
        <w:rFonts w:cs="Arial"/>
        <w:i/>
        <w:color w:val="808080"/>
        <w:sz w:val="18"/>
        <w:szCs w:val="18"/>
        <w:lang w:val="de-DE"/>
      </w:rPr>
      <w:t xml:space="preserve"> </w:t>
    </w:r>
    <w:r w:rsidR="00016EA2">
      <w:rPr>
        <w:rFonts w:cs="Arial"/>
        <w:i/>
        <w:color w:val="808080"/>
        <w:sz w:val="18"/>
        <w:szCs w:val="18"/>
        <w:lang w:val="de-DE"/>
      </w:rPr>
      <w:t>„Und noch immer Brechen die Knochen…“</w:t>
    </w:r>
    <w:r>
      <w:rPr>
        <w:rFonts w:cs="Arial"/>
        <w:i/>
        <w:color w:val="808080"/>
        <w:sz w:val="18"/>
        <w:szCs w:val="18"/>
        <w:lang w:val="de-DE"/>
      </w:rPr>
      <w:br/>
    </w:r>
    <w:r w:rsidR="00016EA2">
      <w:rPr>
        <w:rFonts w:cs="Arial"/>
        <w:i/>
        <w:color w:val="808080"/>
        <w:sz w:val="18"/>
        <w:szCs w:val="18"/>
        <w:lang w:val="de-DE"/>
      </w:rPr>
      <w:t>9. Oktober 2018</w:t>
    </w:r>
    <w:r>
      <w:rPr>
        <w:rFonts w:cs="Arial"/>
        <w:i/>
        <w:color w:val="808080"/>
        <w:sz w:val="18"/>
        <w:szCs w:val="18"/>
        <w:lang w:val="de-DE"/>
      </w:rPr>
      <w:t xml:space="preserve">, Dr. </w:t>
    </w:r>
    <w:r w:rsidR="00016EA2">
      <w:rPr>
        <w:rFonts w:cs="Arial"/>
        <w:i/>
        <w:color w:val="808080"/>
        <w:sz w:val="18"/>
        <w:szCs w:val="18"/>
        <w:lang w:val="de-DE"/>
      </w:rPr>
      <w:t>Matthias Hackl</w:t>
    </w:r>
    <w:r>
      <w:rPr>
        <w:rFonts w:cs="Arial"/>
        <w:i/>
        <w:color w:val="808080"/>
        <w:sz w:val="18"/>
        <w:szCs w:val="18"/>
        <w:lang w:val="de-DE"/>
      </w:rPr>
      <w:t>: „</w:t>
    </w:r>
    <w:r w:rsidR="00016EA2">
      <w:rPr>
        <w:rFonts w:cs="Arial"/>
        <w:i/>
        <w:color w:val="808080"/>
        <w:sz w:val="18"/>
        <w:szCs w:val="18"/>
        <w:lang w:val="de-DE"/>
      </w:rPr>
      <w:t>Neue Wege in der Osteoporose-Diagnostik</w:t>
    </w:r>
    <w:r>
      <w:rPr>
        <w:rFonts w:cs="Arial"/>
        <w:i/>
        <w:color w:val="808080"/>
        <w:sz w:val="18"/>
        <w:szCs w:val="18"/>
        <w:lang w:val="de-DE"/>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7A0" w:rsidRDefault="001347A0" w:rsidP="00801486">
      <w:r>
        <w:separator/>
      </w:r>
    </w:p>
  </w:footnote>
  <w:footnote w:type="continuationSeparator" w:id="0">
    <w:p w:rsidR="001347A0" w:rsidRDefault="001347A0" w:rsidP="00801486">
      <w:r>
        <w:continuationSeparator/>
      </w:r>
    </w:p>
  </w:footnote>
  <w:footnote w:id="1">
    <w:p w:rsidR="001220D2" w:rsidRPr="003F74F7" w:rsidRDefault="001220D2" w:rsidP="001220D2">
      <w:pPr>
        <w:pStyle w:val="Kommentartext"/>
        <w:rPr>
          <w:sz w:val="16"/>
        </w:rPr>
      </w:pPr>
      <w:r w:rsidRPr="003E7041">
        <w:rPr>
          <w:rStyle w:val="Funotenzeichen"/>
          <w:sz w:val="16"/>
        </w:rPr>
        <w:footnoteRef/>
      </w:r>
      <w:r w:rsidRPr="003E7041">
        <w:rPr>
          <w:sz w:val="16"/>
        </w:rPr>
        <w:t xml:space="preserve"> Harvey N, Dennison E, Cooper C. Osteoporosis: impact on health and economics. Nat Rev </w:t>
      </w:r>
      <w:proofErr w:type="spellStart"/>
      <w:r w:rsidRPr="003E7041">
        <w:rPr>
          <w:sz w:val="16"/>
        </w:rPr>
        <w:t>Rheumatol</w:t>
      </w:r>
      <w:proofErr w:type="spellEnd"/>
      <w:r w:rsidRPr="003E7041">
        <w:rPr>
          <w:sz w:val="16"/>
        </w:rPr>
        <w:t xml:space="preserve"> 2010</w:t>
      </w:r>
      <w:proofErr w:type="gramStart"/>
      <w:r w:rsidRPr="003E7041">
        <w:rPr>
          <w:sz w:val="16"/>
        </w:rPr>
        <w:t>;6:99</w:t>
      </w:r>
      <w:proofErr w:type="gramEnd"/>
      <w:r w:rsidRPr="003E7041">
        <w:rPr>
          <w:sz w:val="16"/>
        </w:rPr>
        <w:t>–105. doi:10.1038/nrrheum.2009.260.</w:t>
      </w:r>
    </w:p>
  </w:footnote>
  <w:footnote w:id="2">
    <w:p w:rsidR="001220D2" w:rsidRPr="003F74F7" w:rsidRDefault="001220D2" w:rsidP="001220D2">
      <w:pPr>
        <w:pStyle w:val="Kommentartext"/>
      </w:pPr>
      <w:r w:rsidRPr="003E7041">
        <w:rPr>
          <w:rStyle w:val="Funotenzeichen"/>
          <w:sz w:val="16"/>
        </w:rPr>
        <w:footnoteRef/>
      </w:r>
      <w:r>
        <w:rPr>
          <w:sz w:val="16"/>
        </w:rPr>
        <w:t xml:space="preserve"> </w:t>
      </w:r>
      <w:r w:rsidRPr="003E7041">
        <w:rPr>
          <w:sz w:val="16"/>
        </w:rPr>
        <w:t>https://www.statistik.at/web_de/statistiken/menschen_und_gesellschaft/gesundheit/krebserkrankungen/index.html</w:t>
      </w:r>
    </w:p>
  </w:footnote>
  <w:footnote w:id="3">
    <w:p w:rsidR="001220D2" w:rsidRPr="003F74F7" w:rsidRDefault="001220D2" w:rsidP="001220D2">
      <w:pPr>
        <w:pStyle w:val="Funotentext"/>
        <w:rPr>
          <w:sz w:val="16"/>
        </w:rPr>
      </w:pPr>
      <w:r w:rsidRPr="003E7041">
        <w:rPr>
          <w:rStyle w:val="Funotenzeichen"/>
          <w:sz w:val="16"/>
        </w:rPr>
        <w:footnoteRef/>
      </w:r>
      <w:r w:rsidRPr="003E7041">
        <w:rPr>
          <w:sz w:val="16"/>
        </w:rPr>
        <w:t xml:space="preserve"> </w:t>
      </w:r>
      <w:proofErr w:type="spellStart"/>
      <w:r w:rsidRPr="003E7041">
        <w:rPr>
          <w:sz w:val="16"/>
        </w:rPr>
        <w:t>Aspray</w:t>
      </w:r>
      <w:proofErr w:type="spellEnd"/>
      <w:r w:rsidRPr="003E7041">
        <w:rPr>
          <w:sz w:val="16"/>
        </w:rPr>
        <w:t xml:space="preserve"> </w:t>
      </w:r>
      <w:proofErr w:type="spellStart"/>
      <w:r w:rsidRPr="003E7041">
        <w:rPr>
          <w:sz w:val="16"/>
        </w:rPr>
        <w:t>TJ</w:t>
      </w:r>
      <w:proofErr w:type="spellEnd"/>
      <w:r w:rsidRPr="003E7041">
        <w:rPr>
          <w:sz w:val="16"/>
        </w:rPr>
        <w:t xml:space="preserve">. Fragility fracture: recent developments in risk assessment. </w:t>
      </w:r>
      <w:proofErr w:type="spellStart"/>
      <w:r w:rsidRPr="003E7041">
        <w:rPr>
          <w:sz w:val="16"/>
        </w:rPr>
        <w:t>Ther</w:t>
      </w:r>
      <w:proofErr w:type="spellEnd"/>
      <w:r w:rsidRPr="003E7041">
        <w:rPr>
          <w:sz w:val="16"/>
        </w:rPr>
        <w:t xml:space="preserve"> Adv </w:t>
      </w:r>
      <w:proofErr w:type="spellStart"/>
      <w:r w:rsidRPr="003E7041">
        <w:rPr>
          <w:sz w:val="16"/>
        </w:rPr>
        <w:t>Musculoskelet</w:t>
      </w:r>
      <w:proofErr w:type="spellEnd"/>
      <w:r w:rsidRPr="003E7041">
        <w:rPr>
          <w:sz w:val="16"/>
        </w:rPr>
        <w:t xml:space="preserve"> </w:t>
      </w:r>
      <w:proofErr w:type="spellStart"/>
      <w:r w:rsidRPr="003E7041">
        <w:rPr>
          <w:sz w:val="16"/>
        </w:rPr>
        <w:t>Dis</w:t>
      </w:r>
      <w:proofErr w:type="spellEnd"/>
      <w:r w:rsidRPr="003E7041">
        <w:rPr>
          <w:sz w:val="16"/>
        </w:rPr>
        <w:t xml:space="preserve"> 2015</w:t>
      </w:r>
      <w:proofErr w:type="gramStart"/>
      <w:r w:rsidRPr="003E7041">
        <w:rPr>
          <w:sz w:val="16"/>
        </w:rPr>
        <w:t>;7:17</w:t>
      </w:r>
      <w:proofErr w:type="gramEnd"/>
      <w:r w:rsidRPr="003E7041">
        <w:rPr>
          <w:sz w:val="16"/>
        </w:rPr>
        <w:t xml:space="preserve">–25. </w:t>
      </w:r>
      <w:proofErr w:type="gramStart"/>
      <w:r w:rsidRPr="003E7041">
        <w:rPr>
          <w:sz w:val="16"/>
        </w:rPr>
        <w:t>doi:</w:t>
      </w:r>
      <w:proofErr w:type="gramEnd"/>
      <w:r w:rsidRPr="003E7041">
        <w:rPr>
          <w:sz w:val="16"/>
        </w:rPr>
        <w:t xml:space="preserve">10.1177/1759720X14564562. </w:t>
      </w:r>
    </w:p>
  </w:footnote>
  <w:footnote w:id="4">
    <w:p w:rsidR="001220D2" w:rsidRPr="003F74F7" w:rsidRDefault="001220D2" w:rsidP="001220D2">
      <w:pPr>
        <w:pStyle w:val="Funotentext"/>
        <w:rPr>
          <w:sz w:val="16"/>
        </w:rPr>
      </w:pPr>
      <w:r w:rsidRPr="003E7041">
        <w:rPr>
          <w:rStyle w:val="Funotenzeichen"/>
          <w:sz w:val="16"/>
        </w:rPr>
        <w:footnoteRef/>
      </w:r>
      <w:r w:rsidRPr="003E7041">
        <w:rPr>
          <w:sz w:val="16"/>
        </w:rPr>
        <w:t xml:space="preserve"> „More than half of older women who sustain a fragility fracture do not have osteoporosis by World Health Organization (WHO) bone mineral density (</w:t>
      </w:r>
      <w:proofErr w:type="spellStart"/>
      <w:r w:rsidRPr="003E7041">
        <w:rPr>
          <w:sz w:val="16"/>
        </w:rPr>
        <w:t>BMD</w:t>
      </w:r>
      <w:proofErr w:type="spellEnd"/>
      <w:r w:rsidRPr="003E7041">
        <w:rPr>
          <w:sz w:val="16"/>
        </w:rPr>
        <w:t>) criteria.”</w:t>
      </w:r>
    </w:p>
  </w:footnote>
  <w:footnote w:id="5">
    <w:p w:rsidR="001220D2" w:rsidRPr="003E7041" w:rsidRDefault="001220D2" w:rsidP="001220D2">
      <w:pPr>
        <w:pStyle w:val="Funotentext"/>
        <w:rPr>
          <w:sz w:val="16"/>
          <w:lang w:val="de-DE"/>
        </w:rPr>
      </w:pPr>
      <w:r w:rsidRPr="003E7041">
        <w:rPr>
          <w:rStyle w:val="Funotenzeichen"/>
          <w:sz w:val="16"/>
        </w:rPr>
        <w:footnoteRef/>
      </w:r>
      <w:r>
        <w:rPr>
          <w:sz w:val="16"/>
        </w:rPr>
        <w:t xml:space="preserve"> </w:t>
      </w:r>
      <w:r w:rsidRPr="003E7041">
        <w:rPr>
          <w:sz w:val="16"/>
        </w:rPr>
        <w:t xml:space="preserve">Hackl M, </w:t>
      </w:r>
      <w:proofErr w:type="spellStart"/>
      <w:r w:rsidRPr="003E7041">
        <w:rPr>
          <w:sz w:val="16"/>
        </w:rPr>
        <w:t>Heilmeier</w:t>
      </w:r>
      <w:proofErr w:type="spellEnd"/>
      <w:r w:rsidRPr="003E7041">
        <w:rPr>
          <w:sz w:val="16"/>
        </w:rPr>
        <w:t xml:space="preserve"> U, </w:t>
      </w:r>
      <w:proofErr w:type="spellStart"/>
      <w:r w:rsidRPr="003E7041">
        <w:rPr>
          <w:sz w:val="16"/>
        </w:rPr>
        <w:t>Weilner</w:t>
      </w:r>
      <w:proofErr w:type="spellEnd"/>
      <w:r w:rsidRPr="003E7041">
        <w:rPr>
          <w:sz w:val="16"/>
        </w:rPr>
        <w:t xml:space="preserve"> S, </w:t>
      </w:r>
      <w:proofErr w:type="spellStart"/>
      <w:r w:rsidRPr="003E7041">
        <w:rPr>
          <w:sz w:val="16"/>
        </w:rPr>
        <w:t>Grillari</w:t>
      </w:r>
      <w:proofErr w:type="spellEnd"/>
      <w:r w:rsidRPr="003E7041">
        <w:rPr>
          <w:sz w:val="16"/>
        </w:rPr>
        <w:t xml:space="preserve"> J. Circulating </w:t>
      </w:r>
      <w:proofErr w:type="spellStart"/>
      <w:r w:rsidRPr="003E7041">
        <w:rPr>
          <w:sz w:val="16"/>
        </w:rPr>
        <w:t>microRNAs</w:t>
      </w:r>
      <w:proofErr w:type="spellEnd"/>
      <w:r w:rsidRPr="003E7041">
        <w:rPr>
          <w:sz w:val="16"/>
        </w:rPr>
        <w:t xml:space="preserve"> as novel biomarkers for bone diseases – Complex signatures for </w:t>
      </w:r>
      <w:proofErr w:type="spellStart"/>
      <w:r w:rsidRPr="003E7041">
        <w:rPr>
          <w:sz w:val="16"/>
        </w:rPr>
        <w:t>multifactorial</w:t>
      </w:r>
      <w:proofErr w:type="spellEnd"/>
      <w:r w:rsidRPr="003E7041">
        <w:rPr>
          <w:sz w:val="16"/>
        </w:rPr>
        <w:t xml:space="preserve"> diseases? Mol Cell </w:t>
      </w:r>
      <w:proofErr w:type="spellStart"/>
      <w:r w:rsidRPr="003E7041">
        <w:rPr>
          <w:sz w:val="16"/>
        </w:rPr>
        <w:t>Endocrinol</w:t>
      </w:r>
      <w:proofErr w:type="spellEnd"/>
      <w:r w:rsidRPr="003E7041">
        <w:rPr>
          <w:sz w:val="16"/>
        </w:rPr>
        <w:t xml:space="preserve"> 2016</w:t>
      </w:r>
      <w:proofErr w:type="gramStart"/>
      <w:r w:rsidRPr="003E7041">
        <w:rPr>
          <w:sz w:val="16"/>
        </w:rPr>
        <w:t>;432:83</w:t>
      </w:r>
      <w:proofErr w:type="gramEnd"/>
      <w:r w:rsidRPr="003E7041">
        <w:rPr>
          <w:sz w:val="16"/>
        </w:rPr>
        <w:t>–95. doi:10.1016/j.mce.2015.10.015.</w:t>
      </w:r>
    </w:p>
  </w:footnote>
  <w:footnote w:id="6">
    <w:p w:rsidR="001220D2" w:rsidRPr="00016EA2" w:rsidRDefault="001220D2" w:rsidP="001220D2">
      <w:pPr>
        <w:pStyle w:val="Kommentartext"/>
        <w:rPr>
          <w:lang w:val="de-DE"/>
        </w:rPr>
      </w:pPr>
      <w:r w:rsidRPr="003E7041">
        <w:rPr>
          <w:rStyle w:val="Funotenzeichen"/>
          <w:sz w:val="16"/>
        </w:rPr>
        <w:footnoteRef/>
      </w:r>
      <w:r w:rsidRPr="003E7041">
        <w:rPr>
          <w:sz w:val="16"/>
        </w:rPr>
        <w:t xml:space="preserve"> Walter E, </w:t>
      </w:r>
      <w:proofErr w:type="spellStart"/>
      <w:r w:rsidRPr="003E7041">
        <w:rPr>
          <w:sz w:val="16"/>
        </w:rPr>
        <w:t>Dellago</w:t>
      </w:r>
      <w:proofErr w:type="spellEnd"/>
      <w:r w:rsidRPr="003E7041">
        <w:rPr>
          <w:sz w:val="16"/>
        </w:rPr>
        <w:t xml:space="preserve"> H, </w:t>
      </w:r>
      <w:proofErr w:type="spellStart"/>
      <w:r w:rsidRPr="003E7041">
        <w:rPr>
          <w:sz w:val="16"/>
        </w:rPr>
        <w:t>Grillari</w:t>
      </w:r>
      <w:proofErr w:type="spellEnd"/>
      <w:r w:rsidRPr="003E7041">
        <w:rPr>
          <w:sz w:val="16"/>
        </w:rPr>
        <w:t xml:space="preserve"> J, </w:t>
      </w:r>
      <w:proofErr w:type="spellStart"/>
      <w:r w:rsidRPr="003E7041">
        <w:rPr>
          <w:sz w:val="16"/>
        </w:rPr>
        <w:t>Dimai</w:t>
      </w:r>
      <w:proofErr w:type="spellEnd"/>
      <w:r w:rsidRPr="003E7041">
        <w:rPr>
          <w:sz w:val="16"/>
        </w:rPr>
        <w:t xml:space="preserve"> HP, Hackl M. Cost-utility analysis of fracture risk assessment using </w:t>
      </w:r>
      <w:proofErr w:type="spellStart"/>
      <w:r w:rsidRPr="003E7041">
        <w:rPr>
          <w:sz w:val="16"/>
        </w:rPr>
        <w:t>microRNAs</w:t>
      </w:r>
      <w:proofErr w:type="spellEnd"/>
      <w:r w:rsidRPr="003E7041">
        <w:rPr>
          <w:sz w:val="16"/>
        </w:rPr>
        <w:t xml:space="preserve"> compared with standard tools and no monitoring in the Austrian female population. Bone 2018</w:t>
      </w:r>
      <w:proofErr w:type="gramStart"/>
      <w:r w:rsidRPr="003E7041">
        <w:rPr>
          <w:sz w:val="16"/>
        </w:rPr>
        <w:t>;108:44</w:t>
      </w:r>
      <w:proofErr w:type="gramEnd"/>
      <w:r w:rsidRPr="003E7041">
        <w:rPr>
          <w:sz w:val="16"/>
        </w:rPr>
        <w:t>–54. doi:10.1016/j.bone.2017.12.017.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2F4" w:rsidRPr="00F66BC0" w:rsidRDefault="00EA02F4" w:rsidP="005A5280">
    <w:pPr>
      <w:pStyle w:val="Kopfzeile"/>
      <w:spacing w:after="360"/>
      <w:rPr>
        <w:sz w:val="36"/>
      </w:rPr>
    </w:pPr>
    <w:proofErr w:type="spellStart"/>
    <w:r w:rsidRPr="00F66BC0">
      <w:rPr>
        <w:sz w:val="36"/>
      </w:rPr>
      <w:t>AMGEN.Press.Academy</w:t>
    </w:r>
    <w:proofErr w:type="spellEnd"/>
    <w:r>
      <w:rPr>
        <w:sz w:val="3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28A45A5"/>
    <w:multiLevelType w:val="multilevel"/>
    <w:tmpl w:val="08BC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521B2"/>
    <w:multiLevelType w:val="hybridMultilevel"/>
    <w:tmpl w:val="C99048CC"/>
    <w:lvl w:ilvl="0" w:tplc="04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F8E05A9"/>
    <w:multiLevelType w:val="hybridMultilevel"/>
    <w:tmpl w:val="968A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FA51236"/>
    <w:multiLevelType w:val="hybridMultilevel"/>
    <w:tmpl w:val="2F46DADC"/>
    <w:lvl w:ilvl="0" w:tplc="27A2DEDC">
      <w:numFmt w:val="bullet"/>
      <w:lvlText w:val="-"/>
      <w:lvlJc w:val="left"/>
      <w:pPr>
        <w:ind w:left="760" w:hanging="360"/>
      </w:pPr>
      <w:rPr>
        <w:rFonts w:ascii="Arial" w:eastAsia="Arial" w:hAnsi="Arial" w:cs="Arial" w:hint="default"/>
      </w:rPr>
    </w:lvl>
    <w:lvl w:ilvl="1" w:tplc="0C070003" w:tentative="1">
      <w:start w:val="1"/>
      <w:numFmt w:val="bullet"/>
      <w:lvlText w:val="o"/>
      <w:lvlJc w:val="left"/>
      <w:pPr>
        <w:ind w:left="1480" w:hanging="360"/>
      </w:pPr>
      <w:rPr>
        <w:rFonts w:ascii="Courier New" w:hAnsi="Courier New" w:cs="Courier New" w:hint="default"/>
      </w:rPr>
    </w:lvl>
    <w:lvl w:ilvl="2" w:tplc="0C070005" w:tentative="1">
      <w:start w:val="1"/>
      <w:numFmt w:val="bullet"/>
      <w:lvlText w:val=""/>
      <w:lvlJc w:val="left"/>
      <w:pPr>
        <w:ind w:left="2200" w:hanging="360"/>
      </w:pPr>
      <w:rPr>
        <w:rFonts w:ascii="Wingdings" w:hAnsi="Wingdings" w:hint="default"/>
      </w:rPr>
    </w:lvl>
    <w:lvl w:ilvl="3" w:tplc="0C070001" w:tentative="1">
      <w:start w:val="1"/>
      <w:numFmt w:val="bullet"/>
      <w:lvlText w:val=""/>
      <w:lvlJc w:val="left"/>
      <w:pPr>
        <w:ind w:left="2920" w:hanging="360"/>
      </w:pPr>
      <w:rPr>
        <w:rFonts w:ascii="Symbol" w:hAnsi="Symbol" w:hint="default"/>
      </w:rPr>
    </w:lvl>
    <w:lvl w:ilvl="4" w:tplc="0C070003" w:tentative="1">
      <w:start w:val="1"/>
      <w:numFmt w:val="bullet"/>
      <w:lvlText w:val="o"/>
      <w:lvlJc w:val="left"/>
      <w:pPr>
        <w:ind w:left="3640" w:hanging="360"/>
      </w:pPr>
      <w:rPr>
        <w:rFonts w:ascii="Courier New" w:hAnsi="Courier New" w:cs="Courier New" w:hint="default"/>
      </w:rPr>
    </w:lvl>
    <w:lvl w:ilvl="5" w:tplc="0C070005" w:tentative="1">
      <w:start w:val="1"/>
      <w:numFmt w:val="bullet"/>
      <w:lvlText w:val=""/>
      <w:lvlJc w:val="left"/>
      <w:pPr>
        <w:ind w:left="4360" w:hanging="360"/>
      </w:pPr>
      <w:rPr>
        <w:rFonts w:ascii="Wingdings" w:hAnsi="Wingdings" w:hint="default"/>
      </w:rPr>
    </w:lvl>
    <w:lvl w:ilvl="6" w:tplc="0C070001" w:tentative="1">
      <w:start w:val="1"/>
      <w:numFmt w:val="bullet"/>
      <w:lvlText w:val=""/>
      <w:lvlJc w:val="left"/>
      <w:pPr>
        <w:ind w:left="5080" w:hanging="360"/>
      </w:pPr>
      <w:rPr>
        <w:rFonts w:ascii="Symbol" w:hAnsi="Symbol" w:hint="default"/>
      </w:rPr>
    </w:lvl>
    <w:lvl w:ilvl="7" w:tplc="0C070003" w:tentative="1">
      <w:start w:val="1"/>
      <w:numFmt w:val="bullet"/>
      <w:lvlText w:val="o"/>
      <w:lvlJc w:val="left"/>
      <w:pPr>
        <w:ind w:left="5800" w:hanging="360"/>
      </w:pPr>
      <w:rPr>
        <w:rFonts w:ascii="Courier New" w:hAnsi="Courier New" w:cs="Courier New" w:hint="default"/>
      </w:rPr>
    </w:lvl>
    <w:lvl w:ilvl="8" w:tplc="0C070005" w:tentative="1">
      <w:start w:val="1"/>
      <w:numFmt w:val="bullet"/>
      <w:lvlText w:val=""/>
      <w:lvlJc w:val="left"/>
      <w:pPr>
        <w:ind w:left="6520" w:hanging="360"/>
      </w:pPr>
      <w:rPr>
        <w:rFonts w:ascii="Wingdings" w:hAnsi="Wingdings" w:hint="default"/>
      </w:rPr>
    </w:lvl>
  </w:abstractNum>
  <w:abstractNum w:abstractNumId="9">
    <w:nsid w:val="39CA3D79"/>
    <w:multiLevelType w:val="multilevel"/>
    <w:tmpl w:val="54083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E91C7E"/>
    <w:multiLevelType w:val="singleLevel"/>
    <w:tmpl w:val="734C9272"/>
    <w:lvl w:ilvl="0">
      <w:start w:val="1"/>
      <w:numFmt w:val="decimal"/>
      <w:lvlText w:val="%1."/>
      <w:lvlJc w:val="left"/>
      <w:pPr>
        <w:tabs>
          <w:tab w:val="num" w:pos="360"/>
        </w:tabs>
        <w:ind w:left="360" w:hanging="360"/>
      </w:pPr>
    </w:lvl>
  </w:abstractNum>
  <w:abstractNum w:abstractNumId="11">
    <w:nsid w:val="4AE33594"/>
    <w:multiLevelType w:val="multilevel"/>
    <w:tmpl w:val="60A2C1D6"/>
    <w:lvl w:ilvl="0">
      <w:start w:val="1"/>
      <w:numFmt w:val="bullet"/>
      <w:lvlText w:val="■"/>
      <w:lvlJc w:val="left"/>
      <w:rPr>
        <w:rFonts w:ascii="Segoe UI" w:eastAsia="Segoe UI" w:hAnsi="Segoe UI" w:cs="Segoe UI"/>
        <w:b w:val="0"/>
        <w:bCs w:val="0"/>
        <w:i w:val="0"/>
        <w:iCs w:val="0"/>
        <w:smallCaps w:val="0"/>
        <w:strike w:val="0"/>
        <w:color w:val="000000"/>
        <w:spacing w:val="-1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DC22F9"/>
    <w:multiLevelType w:val="multilevel"/>
    <w:tmpl w:val="B9080A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5A052EFE"/>
    <w:multiLevelType w:val="multilevel"/>
    <w:tmpl w:val="1A7EDD9E"/>
    <w:lvl w:ilvl="0">
      <w:start w:val="1"/>
      <w:numFmt w:val="bullet"/>
      <w:lvlText w:val="■"/>
      <w:lvlJc w:val="left"/>
      <w:rPr>
        <w:rFonts w:ascii="Segoe UI" w:eastAsia="Segoe UI" w:hAnsi="Segoe UI" w:cs="Segoe UI"/>
        <w:b w:val="0"/>
        <w:bCs w:val="0"/>
        <w:i w:val="0"/>
        <w:iCs w:val="0"/>
        <w:smallCaps w:val="0"/>
        <w:strike w:val="0"/>
        <w:color w:val="000000"/>
        <w:spacing w:val="-10"/>
        <w:w w:val="100"/>
        <w:position w:val="0"/>
        <w:sz w:val="14"/>
        <w:szCs w:val="14"/>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3822BDB"/>
    <w:multiLevelType w:val="hybridMultilevel"/>
    <w:tmpl w:val="305C9DAC"/>
    <w:lvl w:ilvl="0" w:tplc="B4500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D454A"/>
    <w:multiLevelType w:val="hybridMultilevel"/>
    <w:tmpl w:val="C5ECA56C"/>
    <w:lvl w:ilvl="0" w:tplc="05420EBC">
      <w:start w:val="1"/>
      <w:numFmt w:val="decimal"/>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876CC"/>
    <w:multiLevelType w:val="multilevel"/>
    <w:tmpl w:val="7A62882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6F6F5510"/>
    <w:multiLevelType w:val="hybridMultilevel"/>
    <w:tmpl w:val="33F218F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0">
    <w:nsid w:val="74A000C5"/>
    <w:multiLevelType w:val="hybridMultilevel"/>
    <w:tmpl w:val="14FA1D70"/>
    <w:lvl w:ilvl="0" w:tplc="E3EEB6E6">
      <w:start w:val="1"/>
      <w:numFmt w:val="decimal"/>
      <w:lvlText w:val="%1)"/>
      <w:lvlJc w:val="left"/>
      <w:pPr>
        <w:ind w:left="720" w:hanging="360"/>
      </w:pPr>
      <w:rPr>
        <w:rFonts w:ascii="Times New Roman" w:hAnsi="Times New Roman"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F93B2B"/>
    <w:multiLevelType w:val="multilevel"/>
    <w:tmpl w:val="5D4EF228"/>
    <w:lvl w:ilvl="0">
      <w:start w:val="1"/>
      <w:numFmt w:val="bullet"/>
      <w:lvlText w:val="■"/>
      <w:lvlJc w:val="left"/>
      <w:rPr>
        <w:rFonts w:ascii="Corbel" w:eastAsia="Corbel" w:hAnsi="Corbel" w:cs="Corbel"/>
        <w:b w:val="0"/>
        <w:bCs w:val="0"/>
        <w:i w:val="0"/>
        <w:iCs w:val="0"/>
        <w:smallCaps w:val="0"/>
        <w:strike w:val="0"/>
        <w:color w:val="000000"/>
        <w:spacing w:val="-10"/>
        <w:w w:val="100"/>
        <w:position w:val="0"/>
        <w:sz w:val="15"/>
        <w:szCs w:val="15"/>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7CAD4D26"/>
    <w:multiLevelType w:val="hybridMultilevel"/>
    <w:tmpl w:val="CAE071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2"/>
  </w:num>
  <w:num w:numId="4">
    <w:abstractNumId w:val="10"/>
  </w:num>
  <w:num w:numId="5">
    <w:abstractNumId w:val="4"/>
  </w:num>
  <w:num w:numId="6">
    <w:abstractNumId w:val="3"/>
  </w:num>
  <w:num w:numId="7">
    <w:abstractNumId w:val="18"/>
  </w:num>
  <w:num w:numId="8">
    <w:abstractNumId w:val="1"/>
  </w:num>
  <w:num w:numId="9">
    <w:abstractNumId w:val="2"/>
  </w:num>
  <w:num w:numId="10">
    <w:abstractNumId w:val="9"/>
  </w:num>
  <w:num w:numId="11">
    <w:abstractNumId w:val="23"/>
  </w:num>
  <w:num w:numId="12">
    <w:abstractNumId w:val="5"/>
  </w:num>
  <w:num w:numId="13">
    <w:abstractNumId w:val="6"/>
  </w:num>
  <w:num w:numId="14">
    <w:abstractNumId w:val="19"/>
  </w:num>
  <w:num w:numId="15">
    <w:abstractNumId w:val="17"/>
  </w:num>
  <w:num w:numId="16">
    <w:abstractNumId w:val="12"/>
  </w:num>
  <w:num w:numId="17">
    <w:abstractNumId w:val="8"/>
  </w:num>
  <w:num w:numId="18">
    <w:abstractNumId w:val="7"/>
  </w:num>
  <w:num w:numId="19">
    <w:abstractNumId w:val="14"/>
  </w:num>
  <w:num w:numId="20">
    <w:abstractNumId w:val="21"/>
  </w:num>
  <w:num w:numId="21">
    <w:abstractNumId w:val="11"/>
  </w:num>
  <w:num w:numId="22">
    <w:abstractNumId w:val="16"/>
  </w:num>
  <w:num w:numId="23">
    <w:abstractNumId w:val="20"/>
  </w:num>
  <w:num w:numId="24">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ias Hackl">
    <w15:presenceInfo w15:providerId="AD" w15:userId="S-1-5-21-819404723-3358948408-1956320463-26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b-NO" w:vendorID="64" w:dllVersion="131078" w:nlCheck="1" w:checkStyle="0"/>
  <w:activeWritingStyle w:appName="MSWord" w:lang="en-US" w:vendorID="64" w:dllVersion="131078" w:nlCheck="1" w:checkStyle="1"/>
  <w:activeWritingStyle w:appName="MSWord" w:lang="de-AT" w:vendorID="64" w:dllVersion="131078" w:nlCheck="1" w:checkStyle="1"/>
  <w:activeWritingStyle w:appName="MSWord" w:lang="de-DE" w:vendorID="64" w:dllVersion="131078" w:nlCheck="1" w:checkStyle="1"/>
  <w:proofState w:spelling="clean" w:grammar="clean"/>
  <w:attachedTemplate r:id="rId1"/>
  <w:stylePaneFormatFilter w:val="3F01"/>
  <w:doNotTrackFormatting/>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8"/>
  </w:hdrShapeDefaults>
  <w:footnotePr>
    <w:footnote w:id="-1"/>
    <w:footnote w:id="0"/>
  </w:footnotePr>
  <w:endnotePr>
    <w:numFmt w:val="decimal"/>
    <w:endnote w:id="-1"/>
    <w:endnote w:id="0"/>
  </w:endnotePr>
  <w:compat>
    <w:doNotUseHTMLParagraphAutoSpacing/>
  </w:compat>
  <w:rsids>
    <w:rsidRoot w:val="00CF328B"/>
    <w:rsid w:val="0000026D"/>
    <w:rsid w:val="00002CAA"/>
    <w:rsid w:val="00006FEA"/>
    <w:rsid w:val="00012A03"/>
    <w:rsid w:val="00016EA2"/>
    <w:rsid w:val="00017A54"/>
    <w:rsid w:val="00023636"/>
    <w:rsid w:val="00023838"/>
    <w:rsid w:val="000238E3"/>
    <w:rsid w:val="0002477F"/>
    <w:rsid w:val="0002536B"/>
    <w:rsid w:val="00026F41"/>
    <w:rsid w:val="00041AA7"/>
    <w:rsid w:val="00042DBC"/>
    <w:rsid w:val="0004538C"/>
    <w:rsid w:val="000505A4"/>
    <w:rsid w:val="000505C7"/>
    <w:rsid w:val="00055492"/>
    <w:rsid w:val="00055CDE"/>
    <w:rsid w:val="000575BC"/>
    <w:rsid w:val="000674C4"/>
    <w:rsid w:val="00075C81"/>
    <w:rsid w:val="00081150"/>
    <w:rsid w:val="000904C7"/>
    <w:rsid w:val="000964B0"/>
    <w:rsid w:val="00096BCB"/>
    <w:rsid w:val="000A1044"/>
    <w:rsid w:val="000B4470"/>
    <w:rsid w:val="000B6EE2"/>
    <w:rsid w:val="000B7CFE"/>
    <w:rsid w:val="000C58E8"/>
    <w:rsid w:val="000C5F31"/>
    <w:rsid w:val="000C6E4C"/>
    <w:rsid w:val="000C7435"/>
    <w:rsid w:val="000D0633"/>
    <w:rsid w:val="000D2A6C"/>
    <w:rsid w:val="000D7639"/>
    <w:rsid w:val="000E00A7"/>
    <w:rsid w:val="000E3C8C"/>
    <w:rsid w:val="000E480C"/>
    <w:rsid w:val="000E4A26"/>
    <w:rsid w:val="000E6CCE"/>
    <w:rsid w:val="001002D9"/>
    <w:rsid w:val="00102037"/>
    <w:rsid w:val="00110B67"/>
    <w:rsid w:val="001144F5"/>
    <w:rsid w:val="001220D2"/>
    <w:rsid w:val="00123D59"/>
    <w:rsid w:val="00124E36"/>
    <w:rsid w:val="00127301"/>
    <w:rsid w:val="001347A0"/>
    <w:rsid w:val="00145D3A"/>
    <w:rsid w:val="00150F26"/>
    <w:rsid w:val="0015257D"/>
    <w:rsid w:val="001532A4"/>
    <w:rsid w:val="00154A95"/>
    <w:rsid w:val="00156B83"/>
    <w:rsid w:val="001600D5"/>
    <w:rsid w:val="0016216D"/>
    <w:rsid w:val="00164669"/>
    <w:rsid w:val="0017225B"/>
    <w:rsid w:val="00173046"/>
    <w:rsid w:val="00173ED2"/>
    <w:rsid w:val="00176DC3"/>
    <w:rsid w:val="00192F2C"/>
    <w:rsid w:val="00193B7B"/>
    <w:rsid w:val="001960A9"/>
    <w:rsid w:val="001A13D6"/>
    <w:rsid w:val="001A2205"/>
    <w:rsid w:val="001A6BAF"/>
    <w:rsid w:val="001A765F"/>
    <w:rsid w:val="001C1A99"/>
    <w:rsid w:val="001C36B2"/>
    <w:rsid w:val="001C3A07"/>
    <w:rsid w:val="001C701B"/>
    <w:rsid w:val="001C75A1"/>
    <w:rsid w:val="001D0390"/>
    <w:rsid w:val="001D40C6"/>
    <w:rsid w:val="001D6567"/>
    <w:rsid w:val="001E0D74"/>
    <w:rsid w:val="001F0405"/>
    <w:rsid w:val="001F05A1"/>
    <w:rsid w:val="001F0965"/>
    <w:rsid w:val="001F258F"/>
    <w:rsid w:val="001F54E2"/>
    <w:rsid w:val="00202676"/>
    <w:rsid w:val="00205110"/>
    <w:rsid w:val="00215641"/>
    <w:rsid w:val="00215CE0"/>
    <w:rsid w:val="00221786"/>
    <w:rsid w:val="0022261B"/>
    <w:rsid w:val="00234204"/>
    <w:rsid w:val="00244EA2"/>
    <w:rsid w:val="00251321"/>
    <w:rsid w:val="00261822"/>
    <w:rsid w:val="002632C4"/>
    <w:rsid w:val="0027408A"/>
    <w:rsid w:val="00274532"/>
    <w:rsid w:val="00284571"/>
    <w:rsid w:val="002851BA"/>
    <w:rsid w:val="00290FB9"/>
    <w:rsid w:val="002910F3"/>
    <w:rsid w:val="00294532"/>
    <w:rsid w:val="00294E12"/>
    <w:rsid w:val="002A567F"/>
    <w:rsid w:val="002B3CD7"/>
    <w:rsid w:val="002B4D1D"/>
    <w:rsid w:val="002B6280"/>
    <w:rsid w:val="002C01CF"/>
    <w:rsid w:val="002C6F60"/>
    <w:rsid w:val="002D2712"/>
    <w:rsid w:val="002D3251"/>
    <w:rsid w:val="002D3D11"/>
    <w:rsid w:val="002E0256"/>
    <w:rsid w:val="002E493C"/>
    <w:rsid w:val="002E4BB3"/>
    <w:rsid w:val="002E50DC"/>
    <w:rsid w:val="0030799A"/>
    <w:rsid w:val="003201E7"/>
    <w:rsid w:val="00321B6B"/>
    <w:rsid w:val="00322BDA"/>
    <w:rsid w:val="003255ED"/>
    <w:rsid w:val="00333ABA"/>
    <w:rsid w:val="0033606B"/>
    <w:rsid w:val="00340177"/>
    <w:rsid w:val="00347FDB"/>
    <w:rsid w:val="00351776"/>
    <w:rsid w:val="0035685A"/>
    <w:rsid w:val="00363641"/>
    <w:rsid w:val="003655F6"/>
    <w:rsid w:val="00366C1D"/>
    <w:rsid w:val="00366D3C"/>
    <w:rsid w:val="003721D6"/>
    <w:rsid w:val="00372A1F"/>
    <w:rsid w:val="00376533"/>
    <w:rsid w:val="00382514"/>
    <w:rsid w:val="0039266A"/>
    <w:rsid w:val="003944FA"/>
    <w:rsid w:val="00396CE5"/>
    <w:rsid w:val="00396DAF"/>
    <w:rsid w:val="003A12E0"/>
    <w:rsid w:val="003A1756"/>
    <w:rsid w:val="003A5CE8"/>
    <w:rsid w:val="003A6445"/>
    <w:rsid w:val="003B016B"/>
    <w:rsid w:val="003B5B28"/>
    <w:rsid w:val="003B6554"/>
    <w:rsid w:val="003D2E91"/>
    <w:rsid w:val="003D3D0B"/>
    <w:rsid w:val="003D55E4"/>
    <w:rsid w:val="003D5880"/>
    <w:rsid w:val="003E22AF"/>
    <w:rsid w:val="003E7041"/>
    <w:rsid w:val="003E7E67"/>
    <w:rsid w:val="003F74F7"/>
    <w:rsid w:val="004000EF"/>
    <w:rsid w:val="0040640D"/>
    <w:rsid w:val="00411339"/>
    <w:rsid w:val="0041481F"/>
    <w:rsid w:val="0042454E"/>
    <w:rsid w:val="00436EC9"/>
    <w:rsid w:val="004416D2"/>
    <w:rsid w:val="00441C50"/>
    <w:rsid w:val="0045314E"/>
    <w:rsid w:val="00466085"/>
    <w:rsid w:val="004674EB"/>
    <w:rsid w:val="00473AD8"/>
    <w:rsid w:val="00485A75"/>
    <w:rsid w:val="0048669E"/>
    <w:rsid w:val="00487273"/>
    <w:rsid w:val="0049095B"/>
    <w:rsid w:val="004951A5"/>
    <w:rsid w:val="00495CA0"/>
    <w:rsid w:val="00497F0A"/>
    <w:rsid w:val="004A64BD"/>
    <w:rsid w:val="004A7FDE"/>
    <w:rsid w:val="004B1AAE"/>
    <w:rsid w:val="004B5E0D"/>
    <w:rsid w:val="004B6391"/>
    <w:rsid w:val="004D03CD"/>
    <w:rsid w:val="004D7322"/>
    <w:rsid w:val="004D787B"/>
    <w:rsid w:val="004E2716"/>
    <w:rsid w:val="004F7FF0"/>
    <w:rsid w:val="005031A6"/>
    <w:rsid w:val="005037CF"/>
    <w:rsid w:val="00510F19"/>
    <w:rsid w:val="00514CCB"/>
    <w:rsid w:val="00515F95"/>
    <w:rsid w:val="005179BB"/>
    <w:rsid w:val="00526E92"/>
    <w:rsid w:val="00530CDA"/>
    <w:rsid w:val="00532867"/>
    <w:rsid w:val="00535850"/>
    <w:rsid w:val="00536C0C"/>
    <w:rsid w:val="00543083"/>
    <w:rsid w:val="00543963"/>
    <w:rsid w:val="00550B2E"/>
    <w:rsid w:val="005576B0"/>
    <w:rsid w:val="0056345F"/>
    <w:rsid w:val="00563F2E"/>
    <w:rsid w:val="00565242"/>
    <w:rsid w:val="005832F8"/>
    <w:rsid w:val="00584AED"/>
    <w:rsid w:val="00584B0F"/>
    <w:rsid w:val="00584FF4"/>
    <w:rsid w:val="00585427"/>
    <w:rsid w:val="00586545"/>
    <w:rsid w:val="00594AE5"/>
    <w:rsid w:val="0059561D"/>
    <w:rsid w:val="005A5280"/>
    <w:rsid w:val="005A6760"/>
    <w:rsid w:val="005B070A"/>
    <w:rsid w:val="005B73BA"/>
    <w:rsid w:val="005B7EAC"/>
    <w:rsid w:val="005C0EBB"/>
    <w:rsid w:val="005C3B23"/>
    <w:rsid w:val="005C54B6"/>
    <w:rsid w:val="005D061D"/>
    <w:rsid w:val="005D3420"/>
    <w:rsid w:val="005D7C98"/>
    <w:rsid w:val="005F1441"/>
    <w:rsid w:val="005F33C2"/>
    <w:rsid w:val="00610678"/>
    <w:rsid w:val="00617F3C"/>
    <w:rsid w:val="006205BF"/>
    <w:rsid w:val="006245A5"/>
    <w:rsid w:val="00625823"/>
    <w:rsid w:val="00636637"/>
    <w:rsid w:val="00643323"/>
    <w:rsid w:val="00643D3F"/>
    <w:rsid w:val="006446CF"/>
    <w:rsid w:val="00646B53"/>
    <w:rsid w:val="00656611"/>
    <w:rsid w:val="00662782"/>
    <w:rsid w:val="0066529A"/>
    <w:rsid w:val="00671758"/>
    <w:rsid w:val="00672732"/>
    <w:rsid w:val="00673F41"/>
    <w:rsid w:val="006758CA"/>
    <w:rsid w:val="00677F34"/>
    <w:rsid w:val="006821C5"/>
    <w:rsid w:val="00684B2C"/>
    <w:rsid w:val="006866AA"/>
    <w:rsid w:val="00697F21"/>
    <w:rsid w:val="006A18FB"/>
    <w:rsid w:val="006A737E"/>
    <w:rsid w:val="006A762C"/>
    <w:rsid w:val="006B432E"/>
    <w:rsid w:val="006B4D7C"/>
    <w:rsid w:val="006C0D62"/>
    <w:rsid w:val="006C2E1F"/>
    <w:rsid w:val="006C2E63"/>
    <w:rsid w:val="006D32C7"/>
    <w:rsid w:val="006E10C1"/>
    <w:rsid w:val="006E3136"/>
    <w:rsid w:val="006E7C59"/>
    <w:rsid w:val="006F457F"/>
    <w:rsid w:val="006F6316"/>
    <w:rsid w:val="006F7037"/>
    <w:rsid w:val="00711C9E"/>
    <w:rsid w:val="00713F98"/>
    <w:rsid w:val="00717892"/>
    <w:rsid w:val="007334CC"/>
    <w:rsid w:val="00741904"/>
    <w:rsid w:val="0076651A"/>
    <w:rsid w:val="0076767B"/>
    <w:rsid w:val="00780438"/>
    <w:rsid w:val="00790DB1"/>
    <w:rsid w:val="007929E5"/>
    <w:rsid w:val="00792E1F"/>
    <w:rsid w:val="007A78B7"/>
    <w:rsid w:val="007B251D"/>
    <w:rsid w:val="007C1F8D"/>
    <w:rsid w:val="007C283C"/>
    <w:rsid w:val="007C5427"/>
    <w:rsid w:val="007C58B9"/>
    <w:rsid w:val="007D17E8"/>
    <w:rsid w:val="007E2033"/>
    <w:rsid w:val="007E3E41"/>
    <w:rsid w:val="007F7023"/>
    <w:rsid w:val="00801194"/>
    <w:rsid w:val="00801486"/>
    <w:rsid w:val="00801BF5"/>
    <w:rsid w:val="008036B3"/>
    <w:rsid w:val="00813919"/>
    <w:rsid w:val="00813A51"/>
    <w:rsid w:val="00814C59"/>
    <w:rsid w:val="0082323B"/>
    <w:rsid w:val="0082352A"/>
    <w:rsid w:val="008542A9"/>
    <w:rsid w:val="00861523"/>
    <w:rsid w:val="00864F75"/>
    <w:rsid w:val="00872E7A"/>
    <w:rsid w:val="00877C76"/>
    <w:rsid w:val="00882C4A"/>
    <w:rsid w:val="00896507"/>
    <w:rsid w:val="008A6378"/>
    <w:rsid w:val="008B2691"/>
    <w:rsid w:val="008B4B03"/>
    <w:rsid w:val="008B63D5"/>
    <w:rsid w:val="008B668D"/>
    <w:rsid w:val="008B68B0"/>
    <w:rsid w:val="008B6CB8"/>
    <w:rsid w:val="008C2B50"/>
    <w:rsid w:val="008C6426"/>
    <w:rsid w:val="008D0567"/>
    <w:rsid w:val="008E6AD0"/>
    <w:rsid w:val="008F7E5F"/>
    <w:rsid w:val="00906DB8"/>
    <w:rsid w:val="00915DF8"/>
    <w:rsid w:val="00917A5E"/>
    <w:rsid w:val="0092089E"/>
    <w:rsid w:val="0093418B"/>
    <w:rsid w:val="00941C73"/>
    <w:rsid w:val="009422A6"/>
    <w:rsid w:val="00943B16"/>
    <w:rsid w:val="009554A8"/>
    <w:rsid w:val="00960836"/>
    <w:rsid w:val="00961F84"/>
    <w:rsid w:val="00962600"/>
    <w:rsid w:val="009638F2"/>
    <w:rsid w:val="00965AF3"/>
    <w:rsid w:val="009737DF"/>
    <w:rsid w:val="0099105A"/>
    <w:rsid w:val="00994D29"/>
    <w:rsid w:val="0099601B"/>
    <w:rsid w:val="009A1268"/>
    <w:rsid w:val="009A5536"/>
    <w:rsid w:val="009A711C"/>
    <w:rsid w:val="009B0C1B"/>
    <w:rsid w:val="009B2397"/>
    <w:rsid w:val="009B3E16"/>
    <w:rsid w:val="009B4D72"/>
    <w:rsid w:val="009B4F08"/>
    <w:rsid w:val="009B54A0"/>
    <w:rsid w:val="009C6E32"/>
    <w:rsid w:val="009C787E"/>
    <w:rsid w:val="009D0551"/>
    <w:rsid w:val="009D0A41"/>
    <w:rsid w:val="009E3C32"/>
    <w:rsid w:val="009E669D"/>
    <w:rsid w:val="009F46AE"/>
    <w:rsid w:val="009F7F21"/>
    <w:rsid w:val="00A003CE"/>
    <w:rsid w:val="00A0227B"/>
    <w:rsid w:val="00A205A8"/>
    <w:rsid w:val="00A25004"/>
    <w:rsid w:val="00A30654"/>
    <w:rsid w:val="00A30C2A"/>
    <w:rsid w:val="00A325C1"/>
    <w:rsid w:val="00A374AE"/>
    <w:rsid w:val="00A43580"/>
    <w:rsid w:val="00A441F6"/>
    <w:rsid w:val="00A4483A"/>
    <w:rsid w:val="00A52823"/>
    <w:rsid w:val="00A52ADE"/>
    <w:rsid w:val="00A544A2"/>
    <w:rsid w:val="00A569FB"/>
    <w:rsid w:val="00A56B9D"/>
    <w:rsid w:val="00A6273C"/>
    <w:rsid w:val="00A6497A"/>
    <w:rsid w:val="00A66B38"/>
    <w:rsid w:val="00A7070C"/>
    <w:rsid w:val="00A827C1"/>
    <w:rsid w:val="00A8306C"/>
    <w:rsid w:val="00A85BDE"/>
    <w:rsid w:val="00A87FEA"/>
    <w:rsid w:val="00A94444"/>
    <w:rsid w:val="00A950EF"/>
    <w:rsid w:val="00A95BC0"/>
    <w:rsid w:val="00AA0270"/>
    <w:rsid w:val="00AA7648"/>
    <w:rsid w:val="00AB0EA3"/>
    <w:rsid w:val="00AB2863"/>
    <w:rsid w:val="00AC34A5"/>
    <w:rsid w:val="00AC6D58"/>
    <w:rsid w:val="00AD4CDD"/>
    <w:rsid w:val="00AD6D55"/>
    <w:rsid w:val="00AD77ED"/>
    <w:rsid w:val="00AD7BF5"/>
    <w:rsid w:val="00AE15DD"/>
    <w:rsid w:val="00AE1DA1"/>
    <w:rsid w:val="00AE3B11"/>
    <w:rsid w:val="00AE4150"/>
    <w:rsid w:val="00AF6CD4"/>
    <w:rsid w:val="00AF7CF6"/>
    <w:rsid w:val="00B01D8D"/>
    <w:rsid w:val="00B05648"/>
    <w:rsid w:val="00B073A4"/>
    <w:rsid w:val="00B113DF"/>
    <w:rsid w:val="00B2286A"/>
    <w:rsid w:val="00B22AB4"/>
    <w:rsid w:val="00B234D0"/>
    <w:rsid w:val="00B2352A"/>
    <w:rsid w:val="00B27DB6"/>
    <w:rsid w:val="00B3180F"/>
    <w:rsid w:val="00B34CC0"/>
    <w:rsid w:val="00B34DCE"/>
    <w:rsid w:val="00B40836"/>
    <w:rsid w:val="00B5074B"/>
    <w:rsid w:val="00B56556"/>
    <w:rsid w:val="00B62A0B"/>
    <w:rsid w:val="00B658DC"/>
    <w:rsid w:val="00B65A70"/>
    <w:rsid w:val="00B7022E"/>
    <w:rsid w:val="00B7146A"/>
    <w:rsid w:val="00B72242"/>
    <w:rsid w:val="00B744FD"/>
    <w:rsid w:val="00B76734"/>
    <w:rsid w:val="00B823D4"/>
    <w:rsid w:val="00B8267E"/>
    <w:rsid w:val="00B86852"/>
    <w:rsid w:val="00B92DFE"/>
    <w:rsid w:val="00B94DCB"/>
    <w:rsid w:val="00B97F34"/>
    <w:rsid w:val="00BA352D"/>
    <w:rsid w:val="00BB195A"/>
    <w:rsid w:val="00BB2B76"/>
    <w:rsid w:val="00BC0882"/>
    <w:rsid w:val="00BC15A5"/>
    <w:rsid w:val="00BC2B47"/>
    <w:rsid w:val="00BC5A6F"/>
    <w:rsid w:val="00BD7FE2"/>
    <w:rsid w:val="00BE006C"/>
    <w:rsid w:val="00BE490F"/>
    <w:rsid w:val="00BF11A3"/>
    <w:rsid w:val="00BF146A"/>
    <w:rsid w:val="00C01EFD"/>
    <w:rsid w:val="00C239B8"/>
    <w:rsid w:val="00C245CD"/>
    <w:rsid w:val="00C25BB4"/>
    <w:rsid w:val="00C3669B"/>
    <w:rsid w:val="00C44E06"/>
    <w:rsid w:val="00C5063C"/>
    <w:rsid w:val="00C63D7C"/>
    <w:rsid w:val="00C66635"/>
    <w:rsid w:val="00C67452"/>
    <w:rsid w:val="00C739BE"/>
    <w:rsid w:val="00C771CE"/>
    <w:rsid w:val="00C8437C"/>
    <w:rsid w:val="00C90D85"/>
    <w:rsid w:val="00C91574"/>
    <w:rsid w:val="00CA06A9"/>
    <w:rsid w:val="00CA189F"/>
    <w:rsid w:val="00CA5E29"/>
    <w:rsid w:val="00CB6AF4"/>
    <w:rsid w:val="00CD06A6"/>
    <w:rsid w:val="00CD6893"/>
    <w:rsid w:val="00CE1EF6"/>
    <w:rsid w:val="00CE2D55"/>
    <w:rsid w:val="00CE59CF"/>
    <w:rsid w:val="00CE5D1C"/>
    <w:rsid w:val="00CF23A4"/>
    <w:rsid w:val="00CF328B"/>
    <w:rsid w:val="00CF3A01"/>
    <w:rsid w:val="00CF6484"/>
    <w:rsid w:val="00D07F5F"/>
    <w:rsid w:val="00D11E7F"/>
    <w:rsid w:val="00D126BC"/>
    <w:rsid w:val="00D15679"/>
    <w:rsid w:val="00D1775D"/>
    <w:rsid w:val="00D22637"/>
    <w:rsid w:val="00D237AF"/>
    <w:rsid w:val="00D243B1"/>
    <w:rsid w:val="00D25A99"/>
    <w:rsid w:val="00D35309"/>
    <w:rsid w:val="00D43CFE"/>
    <w:rsid w:val="00D544DF"/>
    <w:rsid w:val="00D55360"/>
    <w:rsid w:val="00D64DE5"/>
    <w:rsid w:val="00D70D01"/>
    <w:rsid w:val="00D72682"/>
    <w:rsid w:val="00D7338E"/>
    <w:rsid w:val="00D77A31"/>
    <w:rsid w:val="00D8170A"/>
    <w:rsid w:val="00D85813"/>
    <w:rsid w:val="00D97701"/>
    <w:rsid w:val="00DA1894"/>
    <w:rsid w:val="00DA22E6"/>
    <w:rsid w:val="00DA698D"/>
    <w:rsid w:val="00DB37E3"/>
    <w:rsid w:val="00DC13A8"/>
    <w:rsid w:val="00DC28B7"/>
    <w:rsid w:val="00DC347E"/>
    <w:rsid w:val="00DC3987"/>
    <w:rsid w:val="00DC51C6"/>
    <w:rsid w:val="00DC76D7"/>
    <w:rsid w:val="00DE4984"/>
    <w:rsid w:val="00DF3A6C"/>
    <w:rsid w:val="00E02AAA"/>
    <w:rsid w:val="00E079E7"/>
    <w:rsid w:val="00E11AEF"/>
    <w:rsid w:val="00E22B51"/>
    <w:rsid w:val="00E26180"/>
    <w:rsid w:val="00E33AC5"/>
    <w:rsid w:val="00E36EF3"/>
    <w:rsid w:val="00E4012F"/>
    <w:rsid w:val="00E40F96"/>
    <w:rsid w:val="00E960C7"/>
    <w:rsid w:val="00E97C6C"/>
    <w:rsid w:val="00EA02F4"/>
    <w:rsid w:val="00EA3331"/>
    <w:rsid w:val="00EA3DAE"/>
    <w:rsid w:val="00EA3FFD"/>
    <w:rsid w:val="00EB1901"/>
    <w:rsid w:val="00EB369E"/>
    <w:rsid w:val="00EC1782"/>
    <w:rsid w:val="00EC236A"/>
    <w:rsid w:val="00ED0B0A"/>
    <w:rsid w:val="00ED79B9"/>
    <w:rsid w:val="00EE4F7C"/>
    <w:rsid w:val="00EE54D0"/>
    <w:rsid w:val="00EF5DFC"/>
    <w:rsid w:val="00EF6642"/>
    <w:rsid w:val="00EF77E5"/>
    <w:rsid w:val="00F05D0F"/>
    <w:rsid w:val="00F07D6D"/>
    <w:rsid w:val="00F12AE1"/>
    <w:rsid w:val="00F155C7"/>
    <w:rsid w:val="00F16B6D"/>
    <w:rsid w:val="00F17EAF"/>
    <w:rsid w:val="00F24BA0"/>
    <w:rsid w:val="00F27243"/>
    <w:rsid w:val="00F30A3A"/>
    <w:rsid w:val="00F372A2"/>
    <w:rsid w:val="00F37AF8"/>
    <w:rsid w:val="00F42D15"/>
    <w:rsid w:val="00F45CE2"/>
    <w:rsid w:val="00F51181"/>
    <w:rsid w:val="00F517B3"/>
    <w:rsid w:val="00F52FD7"/>
    <w:rsid w:val="00F554ED"/>
    <w:rsid w:val="00F56424"/>
    <w:rsid w:val="00F6552A"/>
    <w:rsid w:val="00F72467"/>
    <w:rsid w:val="00F72D4D"/>
    <w:rsid w:val="00F76F8D"/>
    <w:rsid w:val="00F867E5"/>
    <w:rsid w:val="00F90641"/>
    <w:rsid w:val="00F94936"/>
    <w:rsid w:val="00F964FB"/>
    <w:rsid w:val="00F96B6D"/>
    <w:rsid w:val="00FA03A3"/>
    <w:rsid w:val="00FB503E"/>
    <w:rsid w:val="00FC2325"/>
    <w:rsid w:val="00FC7A69"/>
    <w:rsid w:val="00FD33B7"/>
    <w:rsid w:val="00FD3FD8"/>
    <w:rsid w:val="00FD3FE0"/>
    <w:rsid w:val="00FD6570"/>
    <w:rsid w:val="00FE5888"/>
    <w:rsid w:val="00FF0FBD"/>
    <w:rsid w:val="00FF183D"/>
    <w:rsid w:val="00FF2C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paragraph" w:styleId="berschrift1">
    <w:name w:val="heading 1"/>
    <w:basedOn w:val="Standard"/>
    <w:next w:val="Standard"/>
    <w:link w:val="berschrift1Zchn"/>
    <w:qFormat/>
    <w:rsid w:val="000D2A6C"/>
    <w:pPr>
      <w:keepNext/>
      <w:outlineLvl w:val="0"/>
    </w:pPr>
    <w:rPr>
      <w:b/>
      <w:noProof/>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unhideWhenUsed/>
    <w:rsid w:val="00801486"/>
    <w:pPr>
      <w:tabs>
        <w:tab w:val="center" w:pos="4536"/>
        <w:tab w:val="right" w:pos="9072"/>
      </w:tabs>
    </w:pPr>
  </w:style>
  <w:style w:type="character" w:customStyle="1" w:styleId="KopfzeileZchn">
    <w:name w:val="Kopfzeile Zchn"/>
    <w:link w:val="Kopfzeile"/>
    <w:uiPriority w:val="99"/>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semiHidden/>
    <w:unhideWhenUsed/>
    <w:rsid w:val="00AD77ED"/>
    <w:rPr>
      <w:sz w:val="16"/>
      <w:szCs w:val="16"/>
    </w:rPr>
  </w:style>
  <w:style w:type="paragraph" w:styleId="Kommentartext">
    <w:name w:val="annotation text"/>
    <w:basedOn w:val="Standard"/>
    <w:link w:val="KommentartextZchn"/>
    <w:unhideWhenUsed/>
    <w:rsid w:val="00AD77ED"/>
    <w:rPr>
      <w:sz w:val="20"/>
    </w:rPr>
  </w:style>
  <w:style w:type="character" w:customStyle="1" w:styleId="KommentartextZchn">
    <w:name w:val="Kommentartext Zchn"/>
    <w:link w:val="Kommentartext"/>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paragraph" w:styleId="Titel">
    <w:name w:val="Title"/>
    <w:basedOn w:val="Standard"/>
    <w:next w:val="Standard"/>
    <w:link w:val="TitelZchn"/>
    <w:uiPriority w:val="10"/>
    <w:qFormat/>
    <w:rsid w:val="000D2A6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link w:val="Titel"/>
    <w:uiPriority w:val="10"/>
    <w:rsid w:val="000D2A6C"/>
    <w:rPr>
      <w:rFonts w:ascii="Cambria" w:eastAsia="Times New Roman" w:hAnsi="Cambria" w:cs="Times New Roman"/>
      <w:color w:val="17365D"/>
      <w:spacing w:val="5"/>
      <w:kern w:val="28"/>
      <w:sz w:val="52"/>
      <w:szCs w:val="52"/>
      <w:lang w:val="en-US" w:eastAsia="en-US"/>
    </w:rPr>
  </w:style>
  <w:style w:type="paragraph" w:styleId="Untertitel">
    <w:name w:val="Subtitle"/>
    <w:basedOn w:val="Standard"/>
    <w:next w:val="Standard"/>
    <w:link w:val="UntertitelZchn"/>
    <w:uiPriority w:val="11"/>
    <w:qFormat/>
    <w:rsid w:val="000D2A6C"/>
    <w:pPr>
      <w:numPr>
        <w:ilvl w:val="1"/>
      </w:numPr>
      <w:spacing w:after="200" w:line="276" w:lineRule="auto"/>
    </w:pPr>
    <w:rPr>
      <w:rFonts w:ascii="Cambria" w:hAnsi="Cambria"/>
      <w:i/>
      <w:iCs/>
      <w:color w:val="4F81BD"/>
      <w:spacing w:val="15"/>
      <w:szCs w:val="24"/>
      <w:lang w:eastAsia="en-US"/>
    </w:rPr>
  </w:style>
  <w:style w:type="character" w:customStyle="1" w:styleId="UntertitelZchn">
    <w:name w:val="Untertitel Zchn"/>
    <w:link w:val="Untertitel"/>
    <w:uiPriority w:val="11"/>
    <w:rsid w:val="000D2A6C"/>
    <w:rPr>
      <w:rFonts w:ascii="Cambria" w:eastAsia="Times New Roman" w:hAnsi="Cambria" w:cs="Times New Roman"/>
      <w:i/>
      <w:iCs/>
      <w:color w:val="4F81BD"/>
      <w:spacing w:val="15"/>
      <w:sz w:val="24"/>
      <w:szCs w:val="24"/>
      <w:lang w:val="en-US" w:eastAsia="en-US"/>
    </w:rPr>
  </w:style>
  <w:style w:type="character" w:styleId="SchwacheHervorhebung">
    <w:name w:val="Subtle Emphasis"/>
    <w:uiPriority w:val="19"/>
    <w:qFormat/>
    <w:rsid w:val="000D2A6C"/>
    <w:rPr>
      <w:i/>
      <w:iCs/>
      <w:color w:val="808080"/>
    </w:rPr>
  </w:style>
  <w:style w:type="character" w:customStyle="1" w:styleId="berschrift1Zchn">
    <w:name w:val="Überschrift 1 Zchn"/>
    <w:link w:val="berschrift1"/>
    <w:rsid w:val="000D2A6C"/>
    <w:rPr>
      <w:rFonts w:ascii="Arial" w:hAnsi="Arial" w:cs="Arial"/>
      <w:b/>
      <w:noProof/>
      <w:sz w:val="22"/>
      <w:lang w:val="de-DE" w:eastAsia="de-DE"/>
    </w:rPr>
  </w:style>
  <w:style w:type="character" w:styleId="Hyperlink">
    <w:name w:val="Hyperlink"/>
    <w:uiPriority w:val="99"/>
    <w:unhideWhenUsed/>
    <w:rsid w:val="00055CDE"/>
    <w:rPr>
      <w:color w:val="0000FF"/>
      <w:u w:val="single"/>
    </w:rPr>
  </w:style>
  <w:style w:type="character" w:customStyle="1" w:styleId="Footnote75pt">
    <w:name w:val="Footnote + 7.5 pt"/>
    <w:basedOn w:val="Absatz-Standardschriftart"/>
    <w:rsid w:val="00E33AC5"/>
    <w:rPr>
      <w:rFonts w:ascii="Calibri" w:eastAsia="Calibri" w:hAnsi="Calibri" w:cs="Calibri"/>
      <w:b w:val="0"/>
      <w:bCs w:val="0"/>
      <w:i w:val="0"/>
      <w:iCs w:val="0"/>
      <w:smallCaps w:val="0"/>
      <w:strike w:val="0"/>
      <w:color w:val="000000"/>
      <w:spacing w:val="0"/>
      <w:w w:val="100"/>
      <w:position w:val="0"/>
      <w:sz w:val="15"/>
      <w:szCs w:val="15"/>
      <w:u w:val="none"/>
      <w:lang w:val="de-DE" w:eastAsia="de-DE" w:bidi="de-DE"/>
    </w:rPr>
  </w:style>
  <w:style w:type="character" w:customStyle="1" w:styleId="Footnote">
    <w:name w:val="Footnote"/>
    <w:basedOn w:val="Absatz-Standardschriftart"/>
    <w:rsid w:val="00E33AC5"/>
    <w:rPr>
      <w:rFonts w:ascii="Calibri" w:eastAsia="Calibri" w:hAnsi="Calibri" w:cs="Calibri"/>
      <w:b w:val="0"/>
      <w:bCs w:val="0"/>
      <w:i w:val="0"/>
      <w:iCs w:val="0"/>
      <w:smallCaps w:val="0"/>
      <w:strike w:val="0"/>
      <w:color w:val="0000FF"/>
      <w:spacing w:val="0"/>
      <w:w w:val="100"/>
      <w:position w:val="0"/>
      <w:sz w:val="20"/>
      <w:szCs w:val="20"/>
      <w:u w:val="single"/>
      <w:lang w:val="de-DE" w:eastAsia="de-DE" w:bidi="de-DE"/>
    </w:rPr>
  </w:style>
  <w:style w:type="character" w:customStyle="1" w:styleId="Bodytext4Exact">
    <w:name w:val="Body text (4) Exact"/>
    <w:basedOn w:val="Absatz-Standardschriftart"/>
    <w:rsid w:val="00E33AC5"/>
    <w:rPr>
      <w:rFonts w:ascii="Calibri" w:eastAsia="Calibri" w:hAnsi="Calibri" w:cs="Calibri"/>
      <w:b/>
      <w:bCs/>
      <w:i w:val="0"/>
      <w:iCs w:val="0"/>
      <w:smallCaps w:val="0"/>
      <w:strike w:val="0"/>
      <w:sz w:val="22"/>
      <w:szCs w:val="22"/>
      <w:u w:val="none"/>
    </w:rPr>
  </w:style>
  <w:style w:type="character" w:customStyle="1" w:styleId="Heading1">
    <w:name w:val="Heading #1_"/>
    <w:basedOn w:val="Absatz-Standardschriftart"/>
    <w:link w:val="Heading10"/>
    <w:rsid w:val="00E33AC5"/>
    <w:rPr>
      <w:rFonts w:ascii="Arial" w:eastAsia="Arial" w:hAnsi="Arial" w:cs="Arial"/>
      <w:b/>
      <w:bCs/>
      <w:sz w:val="28"/>
      <w:szCs w:val="28"/>
      <w:shd w:val="clear" w:color="auto" w:fill="FFFFFF"/>
    </w:rPr>
  </w:style>
  <w:style w:type="character" w:customStyle="1" w:styleId="Bodytext3">
    <w:name w:val="Body text (3)_"/>
    <w:basedOn w:val="Absatz-Standardschriftart"/>
    <w:link w:val="Bodytext30"/>
    <w:rsid w:val="00E33AC5"/>
    <w:rPr>
      <w:rFonts w:ascii="Arial" w:eastAsia="Arial" w:hAnsi="Arial" w:cs="Arial"/>
      <w:b/>
      <w:bCs/>
      <w:i/>
      <w:iCs/>
      <w:sz w:val="22"/>
      <w:szCs w:val="22"/>
      <w:shd w:val="clear" w:color="auto" w:fill="FFFFFF"/>
    </w:rPr>
  </w:style>
  <w:style w:type="character" w:customStyle="1" w:styleId="Bodytext4">
    <w:name w:val="Body text (4)_"/>
    <w:basedOn w:val="Absatz-Standardschriftart"/>
    <w:link w:val="Bodytext40"/>
    <w:rsid w:val="00E33AC5"/>
    <w:rPr>
      <w:rFonts w:ascii="Calibri" w:eastAsia="Calibri" w:hAnsi="Calibri" w:cs="Calibri"/>
      <w:b/>
      <w:bCs/>
      <w:sz w:val="22"/>
      <w:szCs w:val="22"/>
      <w:shd w:val="clear" w:color="auto" w:fill="FFFFFF"/>
    </w:rPr>
  </w:style>
  <w:style w:type="character" w:customStyle="1" w:styleId="Heading2">
    <w:name w:val="Heading #2_"/>
    <w:basedOn w:val="Absatz-Standardschriftart"/>
    <w:link w:val="Heading20"/>
    <w:rsid w:val="00E33AC5"/>
    <w:rPr>
      <w:rFonts w:ascii="Arial" w:eastAsia="Arial" w:hAnsi="Arial" w:cs="Arial"/>
      <w:b/>
      <w:bCs/>
      <w:sz w:val="22"/>
      <w:szCs w:val="22"/>
      <w:shd w:val="clear" w:color="auto" w:fill="FFFFFF"/>
    </w:rPr>
  </w:style>
  <w:style w:type="character" w:customStyle="1" w:styleId="Bodytext2Bold">
    <w:name w:val="Body text (2) + Bold"/>
    <w:basedOn w:val="Absatz-Standardschriftart"/>
    <w:rsid w:val="00E33AC5"/>
    <w:rPr>
      <w:rFonts w:ascii="Arial" w:eastAsia="Arial" w:hAnsi="Arial" w:cs="Arial"/>
      <w:b/>
      <w:bCs/>
      <w:i w:val="0"/>
      <w:iCs w:val="0"/>
      <w:smallCaps w:val="0"/>
      <w:strike w:val="0"/>
      <w:color w:val="000000"/>
      <w:spacing w:val="0"/>
      <w:w w:val="100"/>
      <w:position w:val="0"/>
      <w:sz w:val="22"/>
      <w:szCs w:val="22"/>
      <w:u w:val="none"/>
      <w:lang w:val="de-DE" w:eastAsia="de-DE" w:bidi="de-DE"/>
    </w:rPr>
  </w:style>
  <w:style w:type="character" w:customStyle="1" w:styleId="Bodytext2">
    <w:name w:val="Body text (2)"/>
    <w:basedOn w:val="Absatz-Standardschriftart"/>
    <w:rsid w:val="00E33AC5"/>
    <w:rPr>
      <w:rFonts w:ascii="Arial" w:eastAsia="Arial" w:hAnsi="Arial" w:cs="Arial"/>
      <w:b w:val="0"/>
      <w:bCs w:val="0"/>
      <w:i w:val="0"/>
      <w:iCs w:val="0"/>
      <w:smallCaps w:val="0"/>
      <w:strike w:val="0"/>
      <w:color w:val="000000"/>
      <w:spacing w:val="0"/>
      <w:w w:val="100"/>
      <w:position w:val="0"/>
      <w:sz w:val="22"/>
      <w:szCs w:val="22"/>
      <w:u w:val="single"/>
      <w:lang w:val="de-DE" w:eastAsia="de-DE" w:bidi="de-DE"/>
    </w:rPr>
  </w:style>
  <w:style w:type="paragraph" w:customStyle="1" w:styleId="Bodytext40">
    <w:name w:val="Body text (4)"/>
    <w:basedOn w:val="Standard"/>
    <w:link w:val="Bodytext4"/>
    <w:rsid w:val="00E33AC5"/>
    <w:pPr>
      <w:widowControl w:val="0"/>
      <w:shd w:val="clear" w:color="auto" w:fill="FFFFFF"/>
      <w:spacing w:before="360" w:line="264" w:lineRule="exact"/>
    </w:pPr>
    <w:rPr>
      <w:rFonts w:ascii="Calibri" w:eastAsia="Calibri" w:hAnsi="Calibri" w:cs="Calibri"/>
      <w:b/>
      <w:bCs/>
      <w:sz w:val="22"/>
      <w:szCs w:val="22"/>
      <w:lang w:val="de-DE"/>
    </w:rPr>
  </w:style>
  <w:style w:type="paragraph" w:customStyle="1" w:styleId="Heading10">
    <w:name w:val="Heading #1"/>
    <w:basedOn w:val="Standard"/>
    <w:link w:val="Heading1"/>
    <w:rsid w:val="00E33AC5"/>
    <w:pPr>
      <w:widowControl w:val="0"/>
      <w:shd w:val="clear" w:color="auto" w:fill="FFFFFF"/>
      <w:spacing w:line="312" w:lineRule="exact"/>
      <w:jc w:val="center"/>
      <w:outlineLvl w:val="0"/>
    </w:pPr>
    <w:rPr>
      <w:rFonts w:eastAsia="Arial" w:cs="Arial"/>
      <w:b/>
      <w:bCs/>
      <w:sz w:val="28"/>
      <w:szCs w:val="28"/>
      <w:lang w:val="de-DE"/>
    </w:rPr>
  </w:style>
  <w:style w:type="paragraph" w:customStyle="1" w:styleId="Bodytext30">
    <w:name w:val="Body text (3)"/>
    <w:basedOn w:val="Standard"/>
    <w:link w:val="Bodytext3"/>
    <w:rsid w:val="00E33AC5"/>
    <w:pPr>
      <w:widowControl w:val="0"/>
      <w:shd w:val="clear" w:color="auto" w:fill="FFFFFF"/>
      <w:spacing w:before="360" w:after="360" w:line="246" w:lineRule="exact"/>
    </w:pPr>
    <w:rPr>
      <w:rFonts w:eastAsia="Arial" w:cs="Arial"/>
      <w:b/>
      <w:bCs/>
      <w:i/>
      <w:iCs/>
      <w:sz w:val="22"/>
      <w:szCs w:val="22"/>
      <w:lang w:val="de-DE"/>
    </w:rPr>
  </w:style>
  <w:style w:type="paragraph" w:customStyle="1" w:styleId="Heading20">
    <w:name w:val="Heading #2"/>
    <w:basedOn w:val="Standard"/>
    <w:link w:val="Heading2"/>
    <w:rsid w:val="00E33AC5"/>
    <w:pPr>
      <w:widowControl w:val="0"/>
      <w:shd w:val="clear" w:color="auto" w:fill="FFFFFF"/>
      <w:spacing w:before="360" w:after="120" w:line="246" w:lineRule="exact"/>
      <w:outlineLvl w:val="1"/>
    </w:pPr>
    <w:rPr>
      <w:rFonts w:eastAsia="Arial" w:cs="Arial"/>
      <w:b/>
      <w:bCs/>
      <w:sz w:val="22"/>
      <w:szCs w:val="22"/>
      <w:lang w:val="de-DE"/>
    </w:rPr>
  </w:style>
  <w:style w:type="paragraph" w:styleId="StandardWeb">
    <w:name w:val="Normal (Web)"/>
    <w:basedOn w:val="Standard"/>
    <w:uiPriority w:val="99"/>
    <w:semiHidden/>
    <w:unhideWhenUsed/>
    <w:rsid w:val="00DB37E3"/>
    <w:pPr>
      <w:spacing w:before="100" w:beforeAutospacing="1" w:after="100" w:afterAutospacing="1"/>
    </w:pPr>
    <w:rPr>
      <w:rFonts w:ascii="Times New Roman" w:hAnsi="Times New Roman"/>
      <w:szCs w:val="24"/>
      <w:lang w:val="de-DE"/>
    </w:rPr>
  </w:style>
  <w:style w:type="paragraph" w:styleId="berarbeitung">
    <w:name w:val="Revision"/>
    <w:hidden/>
    <w:uiPriority w:val="99"/>
    <w:semiHidden/>
    <w:rsid w:val="009737DF"/>
    <w:rPr>
      <w:rFonts w:ascii="Arial" w:hAnsi="Arial"/>
      <w:sz w:val="24"/>
      <w:lang w:val="en-US" w:eastAsia="de-DE"/>
    </w:rPr>
  </w:style>
  <w:style w:type="character" w:customStyle="1" w:styleId="Bodytext20">
    <w:name w:val="Body text (2)_"/>
    <w:basedOn w:val="Absatz-Standardschriftart"/>
    <w:rsid w:val="003B016B"/>
    <w:rPr>
      <w:rFonts w:ascii="Arial" w:eastAsia="Arial" w:hAnsi="Arial" w:cs="Arial"/>
      <w:b w:val="0"/>
      <w:bCs w:val="0"/>
      <w:i w:val="0"/>
      <w:iCs w:val="0"/>
      <w:smallCaps w:val="0"/>
      <w:strike w:val="0"/>
      <w:sz w:val="22"/>
      <w:szCs w:val="22"/>
      <w:u w:val="none"/>
    </w:rPr>
  </w:style>
  <w:style w:type="character" w:customStyle="1" w:styleId="Bodytext2Corbel95ptSpacing1pt">
    <w:name w:val="Body text (2) + Corbel;9.5 pt;Spacing 1 pt"/>
    <w:basedOn w:val="Bodytext20"/>
    <w:rsid w:val="00396CE5"/>
    <w:rPr>
      <w:rFonts w:ascii="Corbel" w:eastAsia="Corbel" w:hAnsi="Corbel" w:cs="Corbel"/>
      <w:b w:val="0"/>
      <w:bCs w:val="0"/>
      <w:i w:val="0"/>
      <w:iCs w:val="0"/>
      <w:smallCaps w:val="0"/>
      <w:strike w:val="0"/>
      <w:color w:val="000000"/>
      <w:spacing w:val="20"/>
      <w:w w:val="100"/>
      <w:position w:val="0"/>
      <w:sz w:val="19"/>
      <w:szCs w:val="19"/>
      <w:u w:val="none"/>
      <w:lang w:val="de-DE" w:eastAsia="de-DE" w:bidi="de-DE"/>
    </w:rPr>
  </w:style>
  <w:style w:type="character" w:customStyle="1" w:styleId="Bodytext2SegoeUI8ptSpacing0ptScale80">
    <w:name w:val="Body text (2) + Segoe UI;8 pt;Spacing 0 pt;Scale 80%"/>
    <w:basedOn w:val="Bodytext20"/>
    <w:rsid w:val="00396CE5"/>
    <w:rPr>
      <w:rFonts w:ascii="Segoe UI" w:eastAsia="Segoe UI" w:hAnsi="Segoe UI" w:cs="Segoe UI"/>
      <w:b w:val="0"/>
      <w:bCs w:val="0"/>
      <w:i w:val="0"/>
      <w:iCs w:val="0"/>
      <w:smallCaps w:val="0"/>
      <w:strike w:val="0"/>
      <w:color w:val="000000"/>
      <w:spacing w:val="0"/>
      <w:w w:val="80"/>
      <w:position w:val="0"/>
      <w:sz w:val="16"/>
      <w:szCs w:val="16"/>
      <w:u w:val="none"/>
      <w:lang w:val="de-DE" w:eastAsia="de-DE" w:bidi="de-DE"/>
    </w:rPr>
  </w:style>
  <w:style w:type="paragraph" w:styleId="Endnotentext">
    <w:name w:val="endnote text"/>
    <w:basedOn w:val="Standard"/>
    <w:link w:val="EndnotentextZchn"/>
    <w:uiPriority w:val="99"/>
    <w:semiHidden/>
    <w:unhideWhenUsed/>
    <w:rsid w:val="00396CE5"/>
    <w:rPr>
      <w:sz w:val="20"/>
    </w:rPr>
  </w:style>
  <w:style w:type="character" w:customStyle="1" w:styleId="EndnotentextZchn">
    <w:name w:val="Endnotentext Zchn"/>
    <w:basedOn w:val="Absatz-Standardschriftart"/>
    <w:link w:val="Endnotentext"/>
    <w:uiPriority w:val="99"/>
    <w:semiHidden/>
    <w:rsid w:val="00396CE5"/>
    <w:rPr>
      <w:rFonts w:ascii="Arial" w:hAnsi="Arial"/>
      <w:lang w:val="en-US" w:eastAsia="de-DE"/>
    </w:rPr>
  </w:style>
  <w:style w:type="character" w:styleId="Endnotenzeichen">
    <w:name w:val="endnote reference"/>
    <w:basedOn w:val="Absatz-Standardschriftart"/>
    <w:uiPriority w:val="99"/>
    <w:semiHidden/>
    <w:unhideWhenUsed/>
    <w:rsid w:val="00396CE5"/>
    <w:rPr>
      <w:vertAlign w:val="superscript"/>
    </w:rPr>
  </w:style>
  <w:style w:type="paragraph" w:styleId="Funotentext">
    <w:name w:val="footnote text"/>
    <w:basedOn w:val="Standard"/>
    <w:link w:val="FunotentextZchn"/>
    <w:uiPriority w:val="99"/>
    <w:semiHidden/>
    <w:unhideWhenUsed/>
    <w:rsid w:val="006E7C59"/>
    <w:rPr>
      <w:sz w:val="20"/>
    </w:rPr>
  </w:style>
  <w:style w:type="character" w:customStyle="1" w:styleId="FunotentextZchn">
    <w:name w:val="Fußnotentext Zchn"/>
    <w:basedOn w:val="Absatz-Standardschriftart"/>
    <w:link w:val="Funotentext"/>
    <w:uiPriority w:val="99"/>
    <w:semiHidden/>
    <w:rsid w:val="006E7C59"/>
    <w:rPr>
      <w:rFonts w:ascii="Arial" w:hAnsi="Arial"/>
      <w:lang w:val="en-US" w:eastAsia="de-DE"/>
    </w:rPr>
  </w:style>
  <w:style w:type="character" w:styleId="Funotenzeichen">
    <w:name w:val="footnote reference"/>
    <w:basedOn w:val="Absatz-Standardschriftart"/>
    <w:uiPriority w:val="99"/>
    <w:semiHidden/>
    <w:unhideWhenUsed/>
    <w:rsid w:val="006E7C59"/>
    <w:rPr>
      <w:vertAlign w:val="superscript"/>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334773445">
      <w:bodyDiv w:val="1"/>
      <w:marLeft w:val="0"/>
      <w:marRight w:val="0"/>
      <w:marTop w:val="0"/>
      <w:marBottom w:val="0"/>
      <w:divBdr>
        <w:top w:val="none" w:sz="0" w:space="0" w:color="auto"/>
        <w:left w:val="none" w:sz="0" w:space="0" w:color="auto"/>
        <w:bottom w:val="none" w:sz="0" w:space="0" w:color="auto"/>
        <w:right w:val="none" w:sz="0" w:space="0" w:color="auto"/>
      </w:divBdr>
    </w:div>
    <w:div w:id="530605113">
      <w:bodyDiv w:val="1"/>
      <w:marLeft w:val="0"/>
      <w:marRight w:val="0"/>
      <w:marTop w:val="0"/>
      <w:marBottom w:val="0"/>
      <w:divBdr>
        <w:top w:val="none" w:sz="0" w:space="0" w:color="auto"/>
        <w:left w:val="none" w:sz="0" w:space="0" w:color="auto"/>
        <w:bottom w:val="none" w:sz="0" w:space="0" w:color="auto"/>
        <w:right w:val="none" w:sz="0" w:space="0" w:color="auto"/>
      </w:divBdr>
    </w:div>
    <w:div w:id="606544029">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776562675">
      <w:bodyDiv w:val="1"/>
      <w:marLeft w:val="0"/>
      <w:marRight w:val="0"/>
      <w:marTop w:val="0"/>
      <w:marBottom w:val="0"/>
      <w:divBdr>
        <w:top w:val="none" w:sz="0" w:space="0" w:color="auto"/>
        <w:left w:val="none" w:sz="0" w:space="0" w:color="auto"/>
        <w:bottom w:val="none" w:sz="0" w:space="0" w:color="auto"/>
        <w:right w:val="none" w:sz="0" w:space="0" w:color="auto"/>
      </w:divBdr>
      <w:divsChild>
        <w:div w:id="2030837633">
          <w:marLeft w:val="351"/>
          <w:marRight w:val="0"/>
          <w:marTop w:val="0"/>
          <w:marBottom w:val="0"/>
          <w:divBdr>
            <w:top w:val="none" w:sz="0" w:space="0" w:color="auto"/>
            <w:left w:val="none" w:sz="0" w:space="0" w:color="auto"/>
            <w:bottom w:val="none" w:sz="0" w:space="0" w:color="auto"/>
            <w:right w:val="none" w:sz="0" w:space="0" w:color="auto"/>
          </w:divBdr>
          <w:divsChild>
            <w:div w:id="1773745432">
              <w:marLeft w:val="0"/>
              <w:marRight w:val="0"/>
              <w:marTop w:val="0"/>
              <w:marBottom w:val="0"/>
              <w:divBdr>
                <w:top w:val="none" w:sz="0" w:space="0" w:color="auto"/>
                <w:left w:val="none" w:sz="0" w:space="0" w:color="auto"/>
                <w:bottom w:val="none" w:sz="0" w:space="0" w:color="auto"/>
                <w:right w:val="none" w:sz="0" w:space="0" w:color="auto"/>
              </w:divBdr>
              <w:divsChild>
                <w:div w:id="706953003">
                  <w:marLeft w:val="0"/>
                  <w:marRight w:val="0"/>
                  <w:marTop w:val="0"/>
                  <w:marBottom w:val="188"/>
                  <w:divBdr>
                    <w:top w:val="none" w:sz="0" w:space="0" w:color="auto"/>
                    <w:left w:val="none" w:sz="0" w:space="0" w:color="auto"/>
                    <w:bottom w:val="none" w:sz="0" w:space="0" w:color="auto"/>
                    <w:right w:val="none" w:sz="0" w:space="0" w:color="auto"/>
                  </w:divBdr>
                  <w:divsChild>
                    <w:div w:id="150393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4773">
      <w:bodyDiv w:val="1"/>
      <w:marLeft w:val="0"/>
      <w:marRight w:val="0"/>
      <w:marTop w:val="0"/>
      <w:marBottom w:val="0"/>
      <w:divBdr>
        <w:top w:val="none" w:sz="0" w:space="0" w:color="auto"/>
        <w:left w:val="none" w:sz="0" w:space="0" w:color="auto"/>
        <w:bottom w:val="none" w:sz="0" w:space="0" w:color="auto"/>
        <w:right w:val="none" w:sz="0" w:space="0" w:color="auto"/>
      </w:divBdr>
    </w:div>
    <w:div w:id="952831665">
      <w:bodyDiv w:val="1"/>
      <w:marLeft w:val="0"/>
      <w:marRight w:val="0"/>
      <w:marTop w:val="0"/>
      <w:marBottom w:val="0"/>
      <w:divBdr>
        <w:top w:val="none" w:sz="0" w:space="0" w:color="auto"/>
        <w:left w:val="none" w:sz="0" w:space="0" w:color="auto"/>
        <w:bottom w:val="none" w:sz="0" w:space="0" w:color="auto"/>
        <w:right w:val="none" w:sz="0" w:space="0" w:color="auto"/>
      </w:divBdr>
      <w:divsChild>
        <w:div w:id="1483082604">
          <w:marLeft w:val="380"/>
          <w:marRight w:val="0"/>
          <w:marTop w:val="0"/>
          <w:marBottom w:val="0"/>
          <w:divBdr>
            <w:top w:val="none" w:sz="0" w:space="0" w:color="auto"/>
            <w:left w:val="none" w:sz="0" w:space="0" w:color="auto"/>
            <w:bottom w:val="none" w:sz="0" w:space="0" w:color="auto"/>
            <w:right w:val="none" w:sz="0" w:space="0" w:color="auto"/>
          </w:divBdr>
          <w:divsChild>
            <w:div w:id="685597238">
              <w:marLeft w:val="0"/>
              <w:marRight w:val="0"/>
              <w:marTop w:val="0"/>
              <w:marBottom w:val="0"/>
              <w:divBdr>
                <w:top w:val="none" w:sz="0" w:space="0" w:color="auto"/>
                <w:left w:val="none" w:sz="0" w:space="0" w:color="auto"/>
                <w:bottom w:val="none" w:sz="0" w:space="0" w:color="auto"/>
                <w:right w:val="none" w:sz="0" w:space="0" w:color="auto"/>
              </w:divBdr>
              <w:divsChild>
                <w:div w:id="2075152174">
                  <w:marLeft w:val="0"/>
                  <w:marRight w:val="0"/>
                  <w:marTop w:val="0"/>
                  <w:marBottom w:val="204"/>
                  <w:divBdr>
                    <w:top w:val="none" w:sz="0" w:space="0" w:color="auto"/>
                    <w:left w:val="none" w:sz="0" w:space="0" w:color="auto"/>
                    <w:bottom w:val="none" w:sz="0" w:space="0" w:color="auto"/>
                    <w:right w:val="none" w:sz="0" w:space="0" w:color="auto"/>
                  </w:divBdr>
                  <w:divsChild>
                    <w:div w:id="616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3BAAC-5B6B-4ACC-9C98-C5D91FD9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4</Pages>
  <Words>1243</Words>
  <Characters>7836</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Urban &amp; Schenk</Company>
  <LinksUpToDate>false</LinksUpToDate>
  <CharactersWithSpaces>9061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2013-03-04T10:38:00Z</cp:lastPrinted>
  <dcterms:created xsi:type="dcterms:W3CDTF">2018-10-08T14:05:00Z</dcterms:created>
  <dcterms:modified xsi:type="dcterms:W3CDTF">2018-10-08T14:12:00Z</dcterms:modified>
</cp:coreProperties>
</file>